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99" w:rsidRDefault="00B24899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24899" w:rsidRDefault="00213849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13849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上海市交通委员会执法总队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</w:t>
      </w:r>
    </w:p>
    <w:p w:rsidR="00B24899" w:rsidRDefault="00213849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政府采购意向</w:t>
      </w:r>
    </w:p>
    <w:p w:rsidR="00B24899" w:rsidRDefault="00B24899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24899" w:rsidRDefault="00213849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根据《财政部关于开展政府采购意向公开工作的通知》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（财库〔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等有关规定，现将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上海市交通委员会执法总队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采购意向公开如下：</w:t>
      </w:r>
    </w:p>
    <w:p w:rsidR="00B24899" w:rsidRDefault="00B24899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1559"/>
        <w:gridCol w:w="1701"/>
        <w:gridCol w:w="992"/>
      </w:tblGrid>
      <w:tr w:rsidR="00B24899">
        <w:tc>
          <w:tcPr>
            <w:tcW w:w="534" w:type="dxa"/>
            <w:vAlign w:val="center"/>
          </w:tcPr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B24899">
        <w:tc>
          <w:tcPr>
            <w:tcW w:w="534" w:type="dxa"/>
            <w:vAlign w:val="center"/>
          </w:tcPr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综合执法信息系统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(2020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升级改造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)</w:t>
            </w:r>
          </w:p>
        </w:tc>
        <w:tc>
          <w:tcPr>
            <w:tcW w:w="2694" w:type="dxa"/>
            <w:vAlign w:val="center"/>
          </w:tcPr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按照《“十三五”交通运输行政执法综合管理信息系统工程建设实施方案》（交办法〔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2016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118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号）确定的总体框架，参照《交通运输行政执法综合管理信息系统工程建设指南》的要求，通过本项目的实施建设。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升级改造交通运输行政执法协同办案系统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对上海交通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委行政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执法总队现行现有案件处理系统按部要求进行整合优化，并有效对接共享运政、路政等领域的执法办案信息资源。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二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建设交通运输行政执法数据分析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判系统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主要包括改造查询统计、新增关联分析和新增信息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lastRenderedPageBreak/>
              <w:t>判。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三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改造交通运输行政执法信息公示和服务系统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依托上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海市交通委门户网站的渠道，实现社会公众对执法机构和执法人员等公示信息的在线查询监督，实现相对人对执法案件办理过程和结果信息的在线查询，实现社会公众对法律法规政策等信息的在线查询和咨询互动。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四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升级改造移动执法综合管理系统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主要包括改造移动案件办理、新增移动案件办理、新增移动培训和移动办公。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五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新增交通运输行政执法人员综合管理系统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建设并及时更新交通运输行政执法人员本市考试题库和培训课件库。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六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新增辅助执法业务开展的其他业务支撑系统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建设执法监督与评议考核系统、执法信息综合展示系统和重点监管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对象管理系统。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七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根据部级执法系统及执法业务开展要求开发数据交换平台。依托上海市交通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委行业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数据中心，实现与部级执法信息系统数据交换对接；实现与长三角区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域执法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机构信息系统数据交换对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lastRenderedPageBreak/>
              <w:t>接；实现与本市浦东新区、自贸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区执法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机构信息系统数据交换对接；实现与公安、工商、安监、城管等行业外信息系统的数据交换对接；实现与省级治超联网管理信息系统、交通运输信用信息系统的数据交换对接。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八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依据上海市政务信息系统整合实施方案，推进本单位下辖信息系统的“六统一”分步建设。按照统一门户集成、统一接入管理、统一用户管理、统一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授权管理、统一资源管理、统一安全防护的要求开展整合。</w:t>
            </w:r>
          </w:p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九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硬件支撑部分。硬件支撑包括两部分内容：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、为执法总队的网络进行优化，并新增一套安全网关（防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DDos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攻击）；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、为新增的系统配置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台应用服务器，拟通过申请市电子政务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云资源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0"/>
                <w:szCs w:val="22"/>
              </w:rPr>
              <w:t>实现。</w:t>
            </w:r>
          </w:p>
        </w:tc>
        <w:tc>
          <w:tcPr>
            <w:tcW w:w="1559" w:type="dxa"/>
            <w:vAlign w:val="center"/>
          </w:tcPr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lastRenderedPageBreak/>
              <w:t>252</w:t>
            </w:r>
          </w:p>
        </w:tc>
        <w:tc>
          <w:tcPr>
            <w:tcW w:w="1701" w:type="dxa"/>
            <w:vAlign w:val="center"/>
          </w:tcPr>
          <w:p w:rsidR="00B24899" w:rsidRDefault="0021384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2020.9</w:t>
            </w:r>
          </w:p>
        </w:tc>
        <w:tc>
          <w:tcPr>
            <w:tcW w:w="992" w:type="dxa"/>
            <w:vAlign w:val="center"/>
          </w:tcPr>
          <w:p w:rsidR="00B24899" w:rsidRDefault="00B2489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B24899" w:rsidRDefault="00213849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本次公开的采购意向是本单位政府采购工作的初步安排，具体采购项目情况以相关采购公告和采购文件为准。</w:t>
      </w:r>
    </w:p>
    <w:p w:rsidR="00B24899" w:rsidRDefault="00213849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上海市交通委员会执法总队</w:t>
      </w:r>
    </w:p>
    <w:p w:rsidR="00B24899" w:rsidRDefault="00213849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月1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sectPr w:rsidR="00B24899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99"/>
    <w:rsid w:val="00213849"/>
    <w:rsid w:val="00B24899"/>
    <w:rsid w:val="0C6B5737"/>
    <w:rsid w:val="0EAF02B5"/>
    <w:rsid w:val="23BE4875"/>
    <w:rsid w:val="242B5047"/>
    <w:rsid w:val="30523320"/>
    <w:rsid w:val="45B7736C"/>
    <w:rsid w:val="4AE43F43"/>
    <w:rsid w:val="4E9F5965"/>
    <w:rsid w:val="581E6682"/>
    <w:rsid w:val="59567C4F"/>
    <w:rsid w:val="5B4B1C53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213849"/>
    <w:rPr>
      <w:sz w:val="18"/>
      <w:szCs w:val="18"/>
    </w:rPr>
  </w:style>
  <w:style w:type="character" w:customStyle="1" w:styleId="Char">
    <w:name w:val="批注框文本 Char"/>
    <w:basedOn w:val="a0"/>
    <w:link w:val="a5"/>
    <w:rsid w:val="002138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213849"/>
    <w:rPr>
      <w:sz w:val="18"/>
      <w:szCs w:val="18"/>
    </w:rPr>
  </w:style>
  <w:style w:type="character" w:customStyle="1" w:styleId="Char">
    <w:name w:val="批注框文本 Char"/>
    <w:basedOn w:val="a0"/>
    <w:link w:val="a5"/>
    <w:rsid w:val="002138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1044</Characters>
  <Application>Microsoft Office Word</Application>
  <DocSecurity>0</DocSecurity>
  <Lines>8</Lines>
  <Paragraphs>2</Paragraphs>
  <ScaleCrop>false</ScaleCrop>
  <Company>Lenovo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附：政府采购意向公开参考文本</dc:title>
  <dc:creator>may</dc:creator>
  <cp:lastModifiedBy>office</cp:lastModifiedBy>
  <cp:revision>2</cp:revision>
  <dcterms:created xsi:type="dcterms:W3CDTF">2020-02-24T08:15:00Z</dcterms:created>
  <dcterms:modified xsi:type="dcterms:W3CDTF">2020-09-01T08:57:00Z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