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3E" w:rsidRPr="003E46F1" w:rsidRDefault="0066223E" w:rsidP="0066223E">
      <w:pPr>
        <w:adjustRightInd w:val="0"/>
        <w:snapToGrid w:val="0"/>
        <w:spacing w:line="360" w:lineRule="auto"/>
        <w:jc w:val="center"/>
        <w:rPr>
          <w:rFonts w:ascii="仿宋" w:eastAsia="仿宋" w:hAnsi="仿宋"/>
          <w:b/>
          <w:sz w:val="36"/>
          <w:szCs w:val="36"/>
        </w:rPr>
      </w:pPr>
      <w:bookmarkStart w:id="0" w:name="_GoBack"/>
      <w:bookmarkEnd w:id="0"/>
      <w:r>
        <w:rPr>
          <w:rFonts w:ascii="仿宋" w:eastAsia="仿宋" w:hAnsi="仿宋" w:hint="eastAsia"/>
          <w:b/>
          <w:sz w:val="36"/>
          <w:szCs w:val="36"/>
          <w:u w:val="single"/>
        </w:rPr>
        <w:t>上海市道路运输事业发展中心2020</w:t>
      </w:r>
      <w:r w:rsidRPr="003E46F1">
        <w:rPr>
          <w:rFonts w:ascii="仿宋" w:eastAsia="仿宋" w:hAnsi="仿宋" w:hint="eastAsia"/>
          <w:b/>
          <w:sz w:val="36"/>
          <w:szCs w:val="36"/>
        </w:rPr>
        <w:t>年</w:t>
      </w:r>
      <w:r>
        <w:rPr>
          <w:rFonts w:ascii="仿宋" w:eastAsia="仿宋" w:hAnsi="仿宋" w:hint="eastAsia"/>
          <w:b/>
          <w:sz w:val="36"/>
          <w:szCs w:val="36"/>
        </w:rPr>
        <w:t xml:space="preserve"> </w:t>
      </w:r>
      <w:r>
        <w:rPr>
          <w:rFonts w:ascii="仿宋" w:eastAsia="仿宋" w:hAnsi="仿宋" w:hint="eastAsia"/>
          <w:b/>
          <w:sz w:val="36"/>
          <w:szCs w:val="36"/>
          <w:u w:val="single"/>
        </w:rPr>
        <w:t>8</w:t>
      </w:r>
      <w:r w:rsidRPr="003E46F1">
        <w:rPr>
          <w:rFonts w:ascii="仿宋" w:eastAsia="仿宋" w:hAnsi="仿宋" w:hint="eastAsia"/>
          <w:b/>
          <w:sz w:val="36"/>
          <w:szCs w:val="36"/>
        </w:rPr>
        <w:t>（至）</w:t>
      </w:r>
      <w:r>
        <w:rPr>
          <w:rFonts w:ascii="仿宋" w:eastAsia="仿宋" w:hAnsi="仿宋" w:hint="eastAsia"/>
          <w:b/>
          <w:sz w:val="36"/>
          <w:szCs w:val="36"/>
          <w:u w:val="single"/>
        </w:rPr>
        <w:t>9</w:t>
      </w:r>
      <w:r w:rsidRPr="003E46F1">
        <w:rPr>
          <w:rFonts w:ascii="仿宋" w:eastAsia="仿宋" w:hAnsi="仿宋" w:hint="eastAsia"/>
          <w:b/>
          <w:sz w:val="36"/>
          <w:szCs w:val="36"/>
        </w:rPr>
        <w:t>月</w:t>
      </w:r>
    </w:p>
    <w:p w:rsidR="0066223E" w:rsidRDefault="0066223E" w:rsidP="0066223E">
      <w:pPr>
        <w:adjustRightInd w:val="0"/>
        <w:snapToGrid w:val="0"/>
        <w:spacing w:line="360" w:lineRule="auto"/>
        <w:jc w:val="center"/>
        <w:rPr>
          <w:rFonts w:ascii="仿宋" w:eastAsia="仿宋" w:hAnsi="仿宋"/>
          <w:b/>
          <w:sz w:val="36"/>
          <w:szCs w:val="36"/>
        </w:rPr>
      </w:pPr>
      <w:r w:rsidRPr="003E46F1">
        <w:rPr>
          <w:rFonts w:ascii="仿宋" w:eastAsia="仿宋" w:hAnsi="仿宋" w:hint="eastAsia"/>
          <w:b/>
          <w:sz w:val="36"/>
          <w:szCs w:val="36"/>
        </w:rPr>
        <w:t>政府采购意向</w:t>
      </w:r>
    </w:p>
    <w:p w:rsidR="0066223E" w:rsidRDefault="0066223E" w:rsidP="0066223E">
      <w:pPr>
        <w:adjustRightInd w:val="0"/>
        <w:snapToGrid w:val="0"/>
        <w:spacing w:line="360" w:lineRule="auto"/>
        <w:ind w:firstLine="600"/>
        <w:jc w:val="left"/>
        <w:rPr>
          <w:rFonts w:ascii="仿宋" w:eastAsia="仿宋" w:hAnsi="仿宋"/>
          <w:sz w:val="30"/>
          <w:szCs w:val="30"/>
        </w:rPr>
      </w:pPr>
      <w:r w:rsidRPr="003E46F1">
        <w:rPr>
          <w:rFonts w:ascii="仿宋" w:eastAsia="仿宋" w:hAnsi="仿宋" w:hint="eastAsia"/>
          <w:sz w:val="30"/>
          <w:szCs w:val="30"/>
        </w:rPr>
        <w:t>为便于供应商及时了解政府采购信息，根据</w:t>
      </w:r>
      <w:r w:rsidRPr="00BE0A85">
        <w:rPr>
          <w:rFonts w:ascii="仿宋" w:eastAsia="仿宋" w:hAnsi="仿宋" w:hint="eastAsia"/>
          <w:sz w:val="30"/>
          <w:szCs w:val="30"/>
        </w:rPr>
        <w:t>《财政部关于开展政府采购意向公开工作的通知》</w:t>
      </w:r>
      <w:r>
        <w:rPr>
          <w:rFonts w:ascii="仿宋" w:eastAsia="仿宋" w:hAnsi="仿宋" w:hint="eastAsia"/>
          <w:sz w:val="30"/>
          <w:szCs w:val="30"/>
        </w:rPr>
        <w:t>（财库[2020]10号）等有关规定，现将</w:t>
      </w:r>
      <w:r w:rsidRPr="00915A95">
        <w:rPr>
          <w:rFonts w:ascii="仿宋" w:eastAsia="仿宋" w:hAnsi="仿宋" w:hint="eastAsia"/>
          <w:sz w:val="30"/>
          <w:szCs w:val="30"/>
          <w:u w:val="single"/>
        </w:rPr>
        <w:t>上海市道路运输事业发展中心</w:t>
      </w:r>
      <w:r w:rsidRPr="003E46F1">
        <w:rPr>
          <w:rFonts w:ascii="仿宋" w:eastAsia="仿宋" w:hAnsi="仿宋" w:hint="eastAsia"/>
          <w:sz w:val="30"/>
          <w:szCs w:val="30"/>
        </w:rPr>
        <w:t>年</w:t>
      </w:r>
      <w:r>
        <w:rPr>
          <w:rFonts w:ascii="仿宋" w:eastAsia="仿宋" w:hAnsi="仿宋" w:hint="eastAsia"/>
          <w:sz w:val="30"/>
          <w:szCs w:val="30"/>
          <w:u w:val="single"/>
        </w:rPr>
        <w:t>8</w:t>
      </w:r>
      <w:r w:rsidRPr="003E46F1">
        <w:rPr>
          <w:rFonts w:ascii="仿宋" w:eastAsia="仿宋" w:hAnsi="仿宋" w:hint="eastAsia"/>
          <w:sz w:val="30"/>
          <w:szCs w:val="30"/>
        </w:rPr>
        <w:t>（至）</w:t>
      </w:r>
      <w:r>
        <w:rPr>
          <w:rFonts w:ascii="仿宋" w:eastAsia="仿宋" w:hAnsi="仿宋" w:hint="eastAsia"/>
          <w:sz w:val="30"/>
          <w:szCs w:val="30"/>
          <w:u w:val="single"/>
        </w:rPr>
        <w:t>9</w:t>
      </w:r>
      <w:r w:rsidRPr="003E46F1">
        <w:rPr>
          <w:rFonts w:ascii="仿宋" w:eastAsia="仿宋" w:hAnsi="仿宋" w:hint="eastAsia"/>
          <w:sz w:val="30"/>
          <w:szCs w:val="30"/>
        </w:rPr>
        <w:t>月政府采购意向</w:t>
      </w:r>
      <w:r>
        <w:rPr>
          <w:rFonts w:ascii="仿宋" w:eastAsia="仿宋" w:hAnsi="仿宋" w:hint="eastAsia"/>
          <w:sz w:val="30"/>
          <w:szCs w:val="30"/>
        </w:rPr>
        <w:t>公开如下：</w:t>
      </w:r>
    </w:p>
    <w:tbl>
      <w:tblPr>
        <w:tblStyle w:val="a3"/>
        <w:tblW w:w="0" w:type="auto"/>
        <w:tblLook w:val="04A0" w:firstRow="1" w:lastRow="0" w:firstColumn="1" w:lastColumn="0" w:noHBand="0" w:noVBand="1"/>
      </w:tblPr>
      <w:tblGrid>
        <w:gridCol w:w="802"/>
        <w:gridCol w:w="1514"/>
        <w:gridCol w:w="1924"/>
        <w:gridCol w:w="1353"/>
        <w:gridCol w:w="1553"/>
        <w:gridCol w:w="1150"/>
      </w:tblGrid>
      <w:tr w:rsidR="0066223E" w:rsidTr="00725E97">
        <w:tc>
          <w:tcPr>
            <w:tcW w:w="817" w:type="dxa"/>
            <w:vAlign w:val="center"/>
          </w:tcPr>
          <w:p w:rsidR="0066223E"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序</w:t>
            </w:r>
          </w:p>
          <w:p w:rsidR="0066223E" w:rsidRPr="003E46F1"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号</w:t>
            </w:r>
          </w:p>
        </w:tc>
        <w:tc>
          <w:tcPr>
            <w:tcW w:w="1559" w:type="dxa"/>
            <w:vAlign w:val="center"/>
          </w:tcPr>
          <w:p w:rsidR="0066223E"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采购项目</w:t>
            </w:r>
          </w:p>
          <w:p w:rsidR="0066223E" w:rsidRPr="003E46F1" w:rsidRDefault="0066223E" w:rsidP="00725E97">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985" w:type="dxa"/>
            <w:vAlign w:val="center"/>
          </w:tcPr>
          <w:p w:rsidR="0066223E"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采购需求</w:t>
            </w:r>
          </w:p>
          <w:p w:rsidR="0066223E" w:rsidRPr="003E46F1"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概况</w:t>
            </w:r>
          </w:p>
        </w:tc>
        <w:tc>
          <w:tcPr>
            <w:tcW w:w="1383" w:type="dxa"/>
            <w:vAlign w:val="center"/>
          </w:tcPr>
          <w:p w:rsidR="0066223E" w:rsidRPr="003E46F1"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预算金额（万元）</w:t>
            </w:r>
          </w:p>
        </w:tc>
        <w:tc>
          <w:tcPr>
            <w:tcW w:w="1594" w:type="dxa"/>
            <w:vAlign w:val="center"/>
          </w:tcPr>
          <w:p w:rsidR="0066223E" w:rsidRPr="003E46F1"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预计采购时间（填写到月）</w:t>
            </w:r>
          </w:p>
        </w:tc>
        <w:tc>
          <w:tcPr>
            <w:tcW w:w="1184" w:type="dxa"/>
            <w:vAlign w:val="center"/>
          </w:tcPr>
          <w:p w:rsidR="0066223E" w:rsidRPr="003E46F1" w:rsidRDefault="0066223E"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备注</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1</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hint="eastAsia"/>
                <w:sz w:val="22"/>
              </w:rPr>
              <w:t>南浦大桥涂装整治工程设计检测服务采购项目</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通过招标选择优质设计检测单位，施工图设计10天、施工图预算5天，检测10天，共计25天</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73</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2</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2020年中心城常发性交通拥堵点设施改善工程设计</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要求中标单位完成2020年中心城常发性交通拥堵点设施改善工程施工图设计及施工图预算的编制。</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91</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3</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S225朱枫公路东方红桥整治工程桥梁特殊检测</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通过招标选择优质检测单位,完成桥梁特殊检测、承载能力检算。检测15天。</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50</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4</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苏州河沿线桥梁景观提升工程（东段）</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为提升苏州河整体景观的舒适度和观赏性，美化城市环境，经批复同意实施苏州河沿线桥梁景观提升工程（东段）。</w:t>
            </w:r>
            <w:r w:rsidRPr="0066223E">
              <w:rPr>
                <w:rFonts w:ascii="宋体" w:eastAsia="宋体" w:hAnsi="宋体" w:cs="Arial"/>
                <w:sz w:val="22"/>
              </w:rPr>
              <w:br/>
            </w:r>
            <w:r w:rsidRPr="0066223E">
              <w:rPr>
                <w:rFonts w:ascii="宋体" w:eastAsia="宋体" w:hAnsi="宋体" w:cs="Arial"/>
                <w:sz w:val="22"/>
              </w:rPr>
              <w:br/>
              <w:t>同时本工程具有较大的设计和实</w:t>
            </w:r>
            <w:r w:rsidRPr="0066223E">
              <w:rPr>
                <w:rFonts w:ascii="宋体" w:eastAsia="宋体" w:hAnsi="宋体" w:cs="Arial"/>
                <w:sz w:val="22"/>
              </w:rPr>
              <w:lastRenderedPageBreak/>
              <w:t>施难度，为统一协调和</w:t>
            </w:r>
            <w:r w:rsidRPr="0066223E">
              <w:rPr>
                <w:rFonts w:ascii="宋体" w:eastAsia="宋体" w:hAnsi="宋体" w:cs="Arial"/>
                <w:sz w:val="22"/>
              </w:rPr>
              <w:br/>
            </w:r>
            <w:r w:rsidRPr="0066223E">
              <w:rPr>
                <w:rFonts w:ascii="宋体" w:eastAsia="宋体" w:hAnsi="宋体" w:cs="Arial"/>
                <w:sz w:val="22"/>
              </w:rPr>
              <w:br/>
              <w:t>管理项目的设计与施工，在有限的时间内减少矛盾，提高设计与施工的整体质量，加强工程的整体性，经批复同意对本工程实施设计施工一体化招标。</w:t>
            </w:r>
            <w:r w:rsidRPr="0066223E">
              <w:rPr>
                <w:rFonts w:ascii="宋体" w:eastAsia="宋体" w:hAnsi="宋体" w:cs="Arial"/>
                <w:sz w:val="22"/>
              </w:rPr>
              <w:br/>
            </w:r>
            <w:r w:rsidRPr="0066223E">
              <w:rPr>
                <w:rFonts w:ascii="宋体" w:eastAsia="宋体" w:hAnsi="宋体" w:cs="Arial"/>
                <w:sz w:val="22"/>
              </w:rPr>
              <w:br/>
              <w:t>本次景观提升共实施8座桥梁，具体包括:乍浦路桥、四川路桥、河南路桥、山西路桥、福建路桥、西藏路桥、乌镇路桥、新闸路桥。工程内容包括桥梁整体涂装，景观灯光改造及护栏、铺地、路灯等桥梁附属设施进行完善和提升等。该项目分为设计施工一体化招标和施工监理招标。</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lastRenderedPageBreak/>
              <w:t>3756</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5</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2019年中心城区（除黄浦区）非机动车道交通标志完善工程</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对外环以内浦西地区（除黄浦区），涉及徐汇区、静安区、长宁区、虹口区、普陀区、宝山区和杨浦区区域范围内783条禁非相关道路交通标志进行完善。</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248.9</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6</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2020年中心城常发性交通拥堵点设施改善工程监理标</w:t>
            </w:r>
          </w:p>
        </w:tc>
        <w:tc>
          <w:tcPr>
            <w:tcW w:w="1985"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完成2020年中心城常发性交通拥堵点设施改善工程项目的质量控制、进度控制、造价控制、安全文明管理、合同管理、信息管理、</w:t>
            </w:r>
            <w:r w:rsidRPr="0066223E">
              <w:rPr>
                <w:rFonts w:ascii="宋体" w:eastAsia="宋体" w:hAnsi="宋体" w:cs="Arial"/>
                <w:sz w:val="22"/>
              </w:rPr>
              <w:lastRenderedPageBreak/>
              <w:t>环境保护等监理工作。</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lastRenderedPageBreak/>
              <w:t>61</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r w:rsidR="0066223E" w:rsidTr="00725E97">
        <w:tc>
          <w:tcPr>
            <w:tcW w:w="817"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7</w:t>
            </w:r>
          </w:p>
        </w:tc>
        <w:tc>
          <w:tcPr>
            <w:tcW w:w="1559" w:type="dxa"/>
            <w:vAlign w:val="center"/>
          </w:tcPr>
          <w:p w:rsidR="0066223E" w:rsidRPr="0066223E" w:rsidRDefault="0066223E" w:rsidP="00725E97">
            <w:pPr>
              <w:rPr>
                <w:rFonts w:ascii="宋体" w:eastAsia="宋体" w:hAnsi="宋体" w:cs="Arial"/>
                <w:sz w:val="22"/>
              </w:rPr>
            </w:pPr>
            <w:r w:rsidRPr="0066223E">
              <w:rPr>
                <w:rFonts w:ascii="宋体" w:eastAsia="宋体" w:hAnsi="宋体" w:cs="Arial"/>
                <w:sz w:val="22"/>
              </w:rPr>
              <w:t>2020年中心城常发性交通拥堵点设施改善工程施工标</w:t>
            </w:r>
          </w:p>
        </w:tc>
        <w:tc>
          <w:tcPr>
            <w:tcW w:w="1985" w:type="dxa"/>
            <w:vAlign w:val="center"/>
          </w:tcPr>
          <w:p w:rsidR="0066223E" w:rsidRPr="0066223E" w:rsidRDefault="0066223E" w:rsidP="00725E97">
            <w:pPr>
              <w:spacing w:after="240"/>
              <w:rPr>
                <w:rFonts w:ascii="宋体" w:eastAsia="宋体" w:hAnsi="宋体" w:cs="Arial"/>
                <w:sz w:val="22"/>
              </w:rPr>
            </w:pPr>
            <w:r w:rsidRPr="0066223E">
              <w:rPr>
                <w:rFonts w:ascii="宋体" w:eastAsia="宋体" w:hAnsi="宋体" w:cs="宋体" w:hint="eastAsia"/>
                <w:sz w:val="22"/>
              </w:rPr>
              <w:t>①</w:t>
            </w:r>
            <w:r w:rsidRPr="0066223E">
              <w:rPr>
                <w:rFonts w:ascii="宋体" w:eastAsia="宋体" w:hAnsi="宋体" w:cs="Arial"/>
                <w:sz w:val="22"/>
              </w:rPr>
              <w:t>设置路口可变导向车</w:t>
            </w:r>
            <w:r w:rsidRPr="0066223E">
              <w:rPr>
                <w:rFonts w:ascii="宋体" w:eastAsia="宋体" w:hAnsi="宋体" w:cs="Arial"/>
                <w:sz w:val="22"/>
              </w:rPr>
              <w:br/>
            </w:r>
            <w:r w:rsidRPr="0066223E">
              <w:rPr>
                <w:rFonts w:ascii="宋体" w:eastAsia="宋体" w:hAnsi="宋体" w:cs="Arial"/>
                <w:sz w:val="22"/>
              </w:rPr>
              <w:br/>
              <w:t>道可变车道增设车道显示屏，高压水枪冲洗原来路口标线，调整车道标线，新建杆件，增设可变车道预告标志，恢复原有人行道结构和侧平石。</w:t>
            </w:r>
            <w:r w:rsidRPr="0066223E">
              <w:rPr>
                <w:rFonts w:ascii="宋体" w:eastAsia="宋体" w:hAnsi="宋体" w:cs="Arial"/>
                <w:sz w:val="22"/>
              </w:rPr>
              <w:br/>
            </w:r>
            <w:r w:rsidRPr="0066223E">
              <w:rPr>
                <w:rFonts w:ascii="宋体" w:eastAsia="宋体" w:hAnsi="宋体" w:cs="Arial"/>
                <w:sz w:val="22"/>
              </w:rPr>
              <w:br/>
            </w:r>
            <w:r w:rsidRPr="0066223E">
              <w:rPr>
                <w:rFonts w:ascii="宋体" w:eastAsia="宋体" w:hAnsi="宋体" w:cs="宋体" w:hint="eastAsia"/>
                <w:sz w:val="22"/>
              </w:rPr>
              <w:t>②</w:t>
            </w:r>
            <w:r w:rsidRPr="0066223E">
              <w:rPr>
                <w:rFonts w:ascii="宋体" w:eastAsia="宋体" w:hAnsi="宋体" w:cs="Arial"/>
                <w:sz w:val="22"/>
              </w:rPr>
              <w:t>设置待行区</w:t>
            </w:r>
            <w:r w:rsidRPr="0066223E">
              <w:rPr>
                <w:rFonts w:ascii="宋体" w:eastAsia="宋体" w:hAnsi="宋体" w:cs="Arial"/>
                <w:sz w:val="22"/>
              </w:rPr>
              <w:br/>
            </w:r>
            <w:r w:rsidRPr="0066223E">
              <w:rPr>
                <w:rFonts w:ascii="宋体" w:eastAsia="宋体" w:hAnsi="宋体" w:cs="Arial"/>
                <w:sz w:val="22"/>
              </w:rPr>
              <w:br/>
              <w:t>部分路口增设待行显示屏，划示待行区标线及标识，新建杆件，恢复原来人行道结构和侧平石。</w:t>
            </w:r>
            <w:r w:rsidRPr="0066223E">
              <w:rPr>
                <w:rFonts w:ascii="宋体" w:eastAsia="宋体" w:hAnsi="宋体" w:cs="Arial"/>
                <w:sz w:val="22"/>
              </w:rPr>
              <w:br/>
            </w:r>
            <w:r w:rsidRPr="0066223E">
              <w:rPr>
                <w:rFonts w:ascii="宋体" w:eastAsia="宋体" w:hAnsi="宋体" w:cs="Arial"/>
                <w:sz w:val="22"/>
              </w:rPr>
              <w:br/>
            </w:r>
            <w:r w:rsidRPr="0066223E">
              <w:rPr>
                <w:rFonts w:ascii="宋体" w:eastAsia="宋体" w:hAnsi="宋体" w:cs="宋体" w:hint="eastAsia"/>
                <w:sz w:val="22"/>
              </w:rPr>
              <w:t>③</w:t>
            </w:r>
            <w:r w:rsidRPr="0066223E">
              <w:rPr>
                <w:rFonts w:ascii="宋体" w:eastAsia="宋体" w:hAnsi="宋体" w:cs="Arial"/>
                <w:sz w:val="22"/>
              </w:rPr>
              <w:t>设置潮汐车道</w:t>
            </w:r>
            <w:r w:rsidRPr="0066223E">
              <w:rPr>
                <w:rFonts w:ascii="宋体" w:eastAsia="宋体" w:hAnsi="宋体" w:cs="Arial"/>
                <w:sz w:val="22"/>
              </w:rPr>
              <w:br/>
            </w:r>
            <w:r w:rsidRPr="0066223E">
              <w:rPr>
                <w:rFonts w:ascii="宋体" w:eastAsia="宋体" w:hAnsi="宋体" w:cs="Arial"/>
                <w:sz w:val="22"/>
              </w:rPr>
              <w:br/>
              <w:t>车道增设车道显示屏，高压水枪冲洗原有路口标线，调整车道标线，新建杆件、龙门架，增设可变车道预告标志，恢复原有人行道结构和侧平石。</w:t>
            </w:r>
            <w:r w:rsidRPr="0066223E">
              <w:rPr>
                <w:rFonts w:ascii="宋体" w:eastAsia="宋体" w:hAnsi="宋体" w:cs="Arial"/>
                <w:sz w:val="22"/>
              </w:rPr>
              <w:br/>
            </w:r>
            <w:r w:rsidRPr="0066223E">
              <w:rPr>
                <w:rFonts w:ascii="宋体" w:eastAsia="宋体" w:hAnsi="宋体" w:cs="Arial"/>
                <w:sz w:val="22"/>
              </w:rPr>
              <w:br/>
            </w:r>
            <w:r w:rsidRPr="0066223E">
              <w:rPr>
                <w:rFonts w:ascii="宋体" w:eastAsia="宋体" w:hAnsi="宋体" w:cs="宋体" w:hint="eastAsia"/>
                <w:sz w:val="22"/>
              </w:rPr>
              <w:t>④</w:t>
            </w:r>
            <w:r w:rsidRPr="0066223E">
              <w:rPr>
                <w:rFonts w:ascii="宋体" w:eastAsia="宋体" w:hAnsi="宋体" w:cs="Arial"/>
                <w:sz w:val="22"/>
              </w:rPr>
              <w:t>调整断面布置</w:t>
            </w:r>
            <w:r w:rsidRPr="0066223E">
              <w:rPr>
                <w:rFonts w:ascii="宋体" w:eastAsia="宋体" w:hAnsi="宋体" w:cs="Arial"/>
                <w:sz w:val="22"/>
              </w:rPr>
              <w:br/>
            </w:r>
            <w:r w:rsidRPr="0066223E">
              <w:rPr>
                <w:rFonts w:ascii="宋体" w:eastAsia="宋体" w:hAnsi="宋体" w:cs="Arial"/>
                <w:sz w:val="22"/>
              </w:rPr>
              <w:br/>
              <w:t>高压水枪冲洗原有路口标线，调整车道标线，新建杆件，部分路段增设标志，恢复原有人行道结构和侧平石。</w:t>
            </w:r>
            <w:r w:rsidRPr="0066223E">
              <w:rPr>
                <w:rFonts w:ascii="宋体" w:eastAsia="宋体" w:hAnsi="宋体" w:cs="Arial"/>
                <w:sz w:val="22"/>
              </w:rPr>
              <w:br/>
            </w:r>
            <w:r w:rsidRPr="0066223E">
              <w:rPr>
                <w:rFonts w:ascii="宋体" w:eastAsia="宋体" w:hAnsi="宋体" w:cs="Arial"/>
                <w:sz w:val="22"/>
              </w:rPr>
              <w:br/>
            </w:r>
            <w:r w:rsidRPr="0066223E">
              <w:rPr>
                <w:rFonts w:ascii="宋体" w:eastAsia="宋体" w:hAnsi="宋体" w:cs="宋体" w:hint="eastAsia"/>
                <w:sz w:val="22"/>
              </w:rPr>
              <w:t>⑤</w:t>
            </w:r>
            <w:r w:rsidRPr="0066223E">
              <w:rPr>
                <w:rFonts w:ascii="宋体" w:eastAsia="宋体" w:hAnsi="宋体" w:cs="Arial"/>
                <w:sz w:val="22"/>
              </w:rPr>
              <w:t>调整标志标线</w:t>
            </w:r>
            <w:r w:rsidRPr="0066223E">
              <w:rPr>
                <w:rFonts w:ascii="宋体" w:eastAsia="宋体" w:hAnsi="宋体" w:cs="Arial"/>
                <w:sz w:val="22"/>
              </w:rPr>
              <w:br/>
            </w:r>
            <w:r w:rsidRPr="0066223E">
              <w:rPr>
                <w:rFonts w:ascii="宋体" w:eastAsia="宋体" w:hAnsi="宋体" w:cs="Arial"/>
                <w:sz w:val="22"/>
              </w:rPr>
              <w:lastRenderedPageBreak/>
              <w:br/>
              <w:t>高压水枪冲洗原有路口标线，调整车道标线，增设指示标志。</w:t>
            </w:r>
          </w:p>
        </w:tc>
        <w:tc>
          <w:tcPr>
            <w:tcW w:w="1383"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lastRenderedPageBreak/>
              <w:t>2313</w:t>
            </w:r>
          </w:p>
        </w:tc>
        <w:tc>
          <w:tcPr>
            <w:tcW w:w="1594" w:type="dxa"/>
            <w:vAlign w:val="center"/>
          </w:tcPr>
          <w:p w:rsidR="0066223E" w:rsidRPr="0066223E" w:rsidRDefault="0066223E" w:rsidP="00725E97">
            <w:pPr>
              <w:jc w:val="right"/>
              <w:rPr>
                <w:rFonts w:ascii="宋体" w:eastAsia="宋体" w:hAnsi="宋体" w:cs="Arial"/>
                <w:sz w:val="22"/>
              </w:rPr>
            </w:pPr>
            <w:r w:rsidRPr="0066223E">
              <w:rPr>
                <w:rFonts w:ascii="宋体" w:eastAsia="宋体" w:hAnsi="宋体" w:cs="Arial"/>
                <w:sz w:val="22"/>
              </w:rPr>
              <w:t>2020</w:t>
            </w:r>
            <w:r w:rsidRPr="0066223E">
              <w:rPr>
                <w:rFonts w:ascii="宋体" w:eastAsia="宋体" w:hAnsi="宋体" w:cs="Arial" w:hint="eastAsia"/>
                <w:sz w:val="22"/>
              </w:rPr>
              <w:t>年</w:t>
            </w:r>
            <w:r w:rsidRPr="0066223E">
              <w:rPr>
                <w:rFonts w:ascii="宋体" w:eastAsia="宋体" w:hAnsi="宋体" w:cs="Arial"/>
                <w:sz w:val="22"/>
              </w:rPr>
              <w:t>8</w:t>
            </w:r>
            <w:r w:rsidRPr="0066223E">
              <w:rPr>
                <w:rFonts w:ascii="宋体" w:eastAsia="宋体" w:hAnsi="宋体" w:cs="Arial" w:hint="eastAsia"/>
                <w:sz w:val="22"/>
              </w:rPr>
              <w:t>月</w:t>
            </w:r>
          </w:p>
        </w:tc>
        <w:tc>
          <w:tcPr>
            <w:tcW w:w="1184" w:type="dxa"/>
            <w:vAlign w:val="center"/>
          </w:tcPr>
          <w:p w:rsidR="0066223E" w:rsidRPr="0066223E" w:rsidRDefault="0066223E" w:rsidP="00725E97">
            <w:pPr>
              <w:jc w:val="center"/>
              <w:rPr>
                <w:rFonts w:ascii="宋体" w:eastAsia="宋体" w:hAnsi="宋体" w:cs="Arial"/>
                <w:sz w:val="22"/>
              </w:rPr>
            </w:pPr>
            <w:r w:rsidRPr="0066223E">
              <w:rPr>
                <w:rFonts w:ascii="宋体" w:eastAsia="宋体" w:hAnsi="宋体" w:cs="Arial"/>
                <w:sz w:val="22"/>
              </w:rPr>
              <w:t xml:space="preserve">　</w:t>
            </w:r>
          </w:p>
        </w:tc>
      </w:tr>
    </w:tbl>
    <w:p w:rsidR="0066223E" w:rsidRDefault="0066223E" w:rsidP="0066223E">
      <w:pPr>
        <w:adjustRightInd w:val="0"/>
        <w:snapToGrid w:val="0"/>
        <w:spacing w:line="360" w:lineRule="auto"/>
        <w:ind w:firstLineChars="200" w:firstLine="600"/>
        <w:rPr>
          <w:rFonts w:ascii="仿宋" w:eastAsia="仿宋" w:hAnsi="仿宋"/>
          <w:sz w:val="30"/>
          <w:szCs w:val="30"/>
        </w:rPr>
      </w:pPr>
    </w:p>
    <w:p w:rsidR="0066223E" w:rsidRDefault="0066223E" w:rsidP="0066223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本次公开的采购意向是本单位政府采购工作的初步安排，具体采购项目情况以相关采购公告和采购文件为准。</w:t>
      </w:r>
    </w:p>
    <w:p w:rsidR="0066223E" w:rsidRDefault="0066223E" w:rsidP="0066223E">
      <w:pPr>
        <w:adjustRightInd w:val="0"/>
        <w:snapToGrid w:val="0"/>
        <w:spacing w:line="360" w:lineRule="auto"/>
        <w:ind w:firstLineChars="200" w:firstLine="600"/>
        <w:rPr>
          <w:rFonts w:ascii="仿宋" w:eastAsia="仿宋" w:hAnsi="仿宋"/>
          <w:sz w:val="30"/>
          <w:szCs w:val="30"/>
        </w:rPr>
      </w:pPr>
    </w:p>
    <w:p w:rsidR="0066223E" w:rsidRDefault="0066223E" w:rsidP="0066223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上海市道路运输事业发展中心</w:t>
      </w:r>
    </w:p>
    <w:p w:rsidR="0066223E" w:rsidRDefault="0066223E" w:rsidP="0066223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二〇二〇年七月十七日</w:t>
      </w:r>
    </w:p>
    <w:p w:rsidR="00320018" w:rsidRDefault="00320018"/>
    <w:sectPr w:rsidR="00320018" w:rsidSect="003200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F2" w:rsidRDefault="00F635F2" w:rsidP="00D471B0">
      <w:r>
        <w:separator/>
      </w:r>
    </w:p>
  </w:endnote>
  <w:endnote w:type="continuationSeparator" w:id="0">
    <w:p w:rsidR="00F635F2" w:rsidRDefault="00F635F2" w:rsidP="00D4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F2" w:rsidRDefault="00F635F2" w:rsidP="00D471B0">
      <w:r>
        <w:separator/>
      </w:r>
    </w:p>
  </w:footnote>
  <w:footnote w:type="continuationSeparator" w:id="0">
    <w:p w:rsidR="00F635F2" w:rsidRDefault="00F635F2" w:rsidP="00D4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3E"/>
    <w:rsid w:val="00320018"/>
    <w:rsid w:val="0066223E"/>
    <w:rsid w:val="00D471B0"/>
    <w:rsid w:val="00F6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6165E-563B-45A2-A6EC-F523C453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1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471B0"/>
    <w:rPr>
      <w:sz w:val="18"/>
      <w:szCs w:val="18"/>
    </w:rPr>
  </w:style>
  <w:style w:type="paragraph" w:styleId="a6">
    <w:name w:val="footer"/>
    <w:basedOn w:val="a"/>
    <w:link w:val="a7"/>
    <w:uiPriority w:val="99"/>
    <w:unhideWhenUsed/>
    <w:rsid w:val="00D471B0"/>
    <w:pPr>
      <w:tabs>
        <w:tab w:val="center" w:pos="4153"/>
        <w:tab w:val="right" w:pos="8306"/>
      </w:tabs>
      <w:snapToGrid w:val="0"/>
      <w:jc w:val="left"/>
    </w:pPr>
    <w:rPr>
      <w:sz w:val="18"/>
      <w:szCs w:val="18"/>
    </w:rPr>
  </w:style>
  <w:style w:type="character" w:customStyle="1" w:styleId="a7">
    <w:name w:val="页脚 字符"/>
    <w:basedOn w:val="a0"/>
    <w:link w:val="a6"/>
    <w:uiPriority w:val="99"/>
    <w:rsid w:val="00D471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1219</Characters>
  <Application>Microsoft Office Word</Application>
  <DocSecurity>0</DocSecurity>
  <Lines>10</Lines>
  <Paragraphs>2</Paragraphs>
  <ScaleCrop>false</ScaleCrop>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2</cp:revision>
  <dcterms:created xsi:type="dcterms:W3CDTF">2020-07-30T02:57:00Z</dcterms:created>
  <dcterms:modified xsi:type="dcterms:W3CDTF">2020-07-30T02:57:00Z</dcterms:modified>
</cp:coreProperties>
</file>