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Ind w:w="-7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125"/>
        <w:gridCol w:w="1740"/>
        <w:gridCol w:w="180"/>
        <w:gridCol w:w="203"/>
        <w:gridCol w:w="1237"/>
        <w:gridCol w:w="802"/>
        <w:gridCol w:w="263"/>
        <w:gridCol w:w="2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5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  <w:t>客车额度备案申请单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97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2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3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212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3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41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新能源汽车车牌号码</w:t>
            </w:r>
          </w:p>
        </w:tc>
        <w:tc>
          <w:tcPr>
            <w:tcW w:w="657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申请备案客车额度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证明类别（新增/在用）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申请备案客车额度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证明（编号/序号）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  <w:jc w:val="center"/>
        </w:trPr>
        <w:tc>
          <w:tcPr>
            <w:tcW w:w="955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特别告知：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根据《上海市人民政府办公厅关于执行〈上海市非营业性客车额度拍卖管理规定〉若干要求的通知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》（沪府办发〔2017〕43号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，以下简称《若干要求通知》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为明确您的权利、义务，维护您的合法权益，在申请客车额度备案前，请仔细阅知以下内容：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1、前来办理客车额度备案手续前，请您先阅知《个人非营业性客车额度备案办事指南》相关内容，准备好办理手续所需材料。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办理客车额度备案手续后，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当新能源汽车发生注销、转移、失窃等您不再拥有该车辆情形时，相关额度方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退下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请尽早前来我中心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申领客车额度证明。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、我中心向您重新核发额度证明的有效期，从发生上述您不再拥有新能源汽车情形之日起即开始起算，具体有效期适用规则严格按照《若干要求通知》执行。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您若不及时前来申领额度证明的，有效期同样从上述时间节点开始起算，超过有效期后不能再凭该证明办理机动车登记手续。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30AC"/>
    <w:rsid w:val="05646CE0"/>
    <w:rsid w:val="154B6CDD"/>
    <w:rsid w:val="21607BB3"/>
    <w:rsid w:val="36501D04"/>
    <w:rsid w:val="598D70FF"/>
    <w:rsid w:val="73CD0B57"/>
    <w:rsid w:val="7B372F57"/>
    <w:rsid w:val="7C8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2017-06-30T09:29:00Z</dcterms:created>
  <dc:creator>lenovo</dc:creator>
  <cp:lastModifiedBy>lenovo</cp:lastModifiedBy>
  <dcterms:modified xsi:type="dcterms:W3CDTF">2017-07-07T09:12:39Z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