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21999E">
      <w:pPr>
        <w:pageBreakBefore w:val="0"/>
        <w:widowControl w:val="0"/>
        <w:kinsoku/>
        <w:wordWrap/>
        <w:overflowPunct/>
        <w:topLinePunct w:val="0"/>
        <w:autoSpaceDE/>
        <w:autoSpaceDN/>
        <w:bidi w:val="0"/>
        <w:adjustRightInd/>
        <w:snapToGrid/>
        <w:spacing w:beforeLines="100" w:line="600" w:lineRule="exact"/>
        <w:jc w:val="center"/>
        <w:textAlignment w:val="auto"/>
        <w:rPr>
          <w:rFonts w:ascii="宋体" w:hAnsi="宋体"/>
          <w:b/>
          <w:sz w:val="36"/>
          <w:szCs w:val="36"/>
        </w:rPr>
      </w:pPr>
      <w:r>
        <w:rPr>
          <w:rFonts w:hint="eastAsia" w:ascii="宋体" w:hAnsi="宋体"/>
          <w:b/>
          <w:sz w:val="36"/>
          <w:szCs w:val="36"/>
        </w:rPr>
        <w:t>上海市轨道交通运营服务乘客满意度测评报告</w:t>
      </w:r>
    </w:p>
    <w:p w14:paraId="7DCC70A7">
      <w:pPr>
        <w:pageBreakBefore w:val="0"/>
        <w:widowControl w:val="0"/>
        <w:kinsoku/>
        <w:wordWrap/>
        <w:overflowPunct/>
        <w:topLinePunct w:val="0"/>
        <w:autoSpaceDE/>
        <w:autoSpaceDN/>
        <w:bidi w:val="0"/>
        <w:adjustRightInd/>
        <w:snapToGrid/>
        <w:spacing w:afterLines="100" w:line="600" w:lineRule="exact"/>
        <w:jc w:val="center"/>
        <w:textAlignment w:val="auto"/>
        <w:rPr>
          <w:rFonts w:ascii="宋体" w:hAnsi="宋体"/>
          <w:b/>
          <w:sz w:val="36"/>
          <w:szCs w:val="36"/>
        </w:rPr>
      </w:pPr>
      <w:r>
        <w:rPr>
          <w:rFonts w:hint="eastAsia" w:ascii="宋体" w:hAnsi="宋体"/>
          <w:b/>
          <w:sz w:val="36"/>
          <w:szCs w:val="36"/>
        </w:rPr>
        <w:t>（20</w:t>
      </w:r>
      <w:r>
        <w:rPr>
          <w:rFonts w:ascii="宋体" w:hAnsi="宋体"/>
          <w:b/>
          <w:sz w:val="36"/>
          <w:szCs w:val="36"/>
        </w:rPr>
        <w:t>2</w:t>
      </w:r>
      <w:r>
        <w:rPr>
          <w:rFonts w:hint="eastAsia" w:ascii="宋体" w:hAnsi="宋体"/>
          <w:b/>
          <w:sz w:val="36"/>
          <w:szCs w:val="36"/>
        </w:rPr>
        <w:t>4年第四季度）</w:t>
      </w:r>
    </w:p>
    <w:p w14:paraId="562966A0">
      <w:pPr>
        <w:pStyle w:val="2"/>
        <w:pageBreakBefore w:val="0"/>
        <w:widowControl w:val="0"/>
        <w:kinsoku/>
        <w:wordWrap/>
        <w:overflowPunct/>
        <w:topLinePunct w:val="0"/>
        <w:autoSpaceDE/>
        <w:autoSpaceDN/>
        <w:bidi w:val="0"/>
        <w:adjustRightInd/>
        <w:snapToGrid/>
        <w:spacing w:line="600" w:lineRule="exact"/>
        <w:textAlignment w:val="auto"/>
      </w:pPr>
      <w:r>
        <w:rPr>
          <w:rFonts w:hint="eastAsia"/>
        </w:rPr>
        <w:t>一、测评概况</w:t>
      </w:r>
    </w:p>
    <w:p w14:paraId="0C825CBB">
      <w:pPr>
        <w:pStyle w:val="30"/>
        <w:pageBreakBefore w:val="0"/>
        <w:widowControl w:val="0"/>
        <w:kinsoku/>
        <w:wordWrap/>
        <w:overflowPunct/>
        <w:topLinePunct w:val="0"/>
        <w:autoSpaceDE/>
        <w:autoSpaceDN/>
        <w:bidi w:val="0"/>
        <w:adjustRightInd/>
        <w:snapToGrid/>
        <w:spacing w:line="600" w:lineRule="exact"/>
        <w:ind w:firstLine="484" w:firstLineChars="202"/>
        <w:textAlignment w:val="auto"/>
        <w:rPr>
          <w:rFonts w:ascii="微软雅黑" w:hAnsi="微软雅黑" w:eastAsia="微软雅黑"/>
          <w:bCs/>
          <w:sz w:val="24"/>
        </w:rPr>
      </w:pPr>
      <w:r>
        <w:rPr>
          <w:rFonts w:hint="eastAsia" w:ascii="微软雅黑" w:hAnsi="微软雅黑" w:eastAsia="微软雅黑"/>
          <w:bCs/>
          <w:sz w:val="24"/>
        </w:rPr>
        <w:t>20</w:t>
      </w:r>
      <w:r>
        <w:rPr>
          <w:rFonts w:ascii="微软雅黑" w:hAnsi="微软雅黑" w:eastAsia="微软雅黑"/>
          <w:bCs/>
          <w:sz w:val="24"/>
        </w:rPr>
        <w:t>2</w:t>
      </w:r>
      <w:r>
        <w:rPr>
          <w:rFonts w:hint="eastAsia" w:ascii="微软雅黑" w:hAnsi="微软雅黑" w:eastAsia="微软雅黑"/>
          <w:bCs/>
          <w:sz w:val="24"/>
        </w:rPr>
        <w:t>4年上海市轨道交通运营服务乘客满意度测评根据上海市城市交通行业管理部门客观评价各运营公司服务情况的要求，在综合考虑各公司客运量、服务条件基础上展开。测评内容涉及</w:t>
      </w:r>
      <w:r>
        <w:rPr>
          <w:rFonts w:hint="eastAsia" w:ascii="微软雅黑" w:hAnsi="微软雅黑" w:eastAsia="微软雅黑"/>
          <w:b/>
          <w:bCs/>
          <w:sz w:val="24"/>
          <w:u w:val="single"/>
        </w:rPr>
        <w:t>运营安全、车况站貌、优质服务、服务便捷以及投诉处理</w:t>
      </w:r>
      <w:r>
        <w:rPr>
          <w:rFonts w:hint="eastAsia" w:ascii="微软雅黑" w:hAnsi="微软雅黑" w:eastAsia="微软雅黑"/>
          <w:bCs/>
          <w:sz w:val="24"/>
        </w:rPr>
        <w:t>五大类指标。</w:t>
      </w:r>
    </w:p>
    <w:p w14:paraId="35BAC065">
      <w:pPr>
        <w:pStyle w:val="30"/>
        <w:spacing w:line="360" w:lineRule="auto"/>
        <w:ind w:firstLine="424" w:firstLineChars="202"/>
        <w:jc w:val="center"/>
        <w:rPr>
          <w:rFonts w:hint="eastAsia" w:ascii="微软雅黑" w:hAnsi="微软雅黑" w:eastAsia="微软雅黑"/>
          <w:bCs/>
          <w:sz w:val="24"/>
        </w:rPr>
      </w:pPr>
      <w:r>
        <w:drawing>
          <wp:inline distT="0" distB="0" distL="0" distR="0">
            <wp:extent cx="3912235" cy="2488565"/>
            <wp:effectExtent l="0" t="0" r="0" b="0"/>
            <wp:docPr id="2" name="图片 73" descr="图片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73" descr="图片14.png"/>
                    <pic:cNvPicPr>
                      <a:picLocks noChangeAspect="1" noChangeArrowheads="1"/>
                    </pic:cNvPicPr>
                  </pic:nvPicPr>
                  <pic:blipFill>
                    <a:blip r:embed="rId4"/>
                    <a:srcRect/>
                    <a:stretch>
                      <a:fillRect/>
                    </a:stretch>
                  </pic:blipFill>
                  <pic:spPr>
                    <a:xfrm>
                      <a:off x="0" y="0"/>
                      <a:ext cx="3912235" cy="2488565"/>
                    </a:xfrm>
                    <a:prstGeom prst="rect">
                      <a:avLst/>
                    </a:prstGeom>
                    <a:noFill/>
                    <a:ln w="9525">
                      <a:noFill/>
                      <a:miter lim="800000"/>
                      <a:headEnd/>
                      <a:tailEnd/>
                    </a:ln>
                  </pic:spPr>
                </pic:pic>
              </a:graphicData>
            </a:graphic>
          </wp:inline>
        </w:drawing>
      </w:r>
    </w:p>
    <w:p w14:paraId="0997CA90">
      <w:pPr>
        <w:pStyle w:val="30"/>
        <w:keepNext w:val="0"/>
        <w:keepLines w:val="0"/>
        <w:pageBreakBefore w:val="0"/>
        <w:widowControl w:val="0"/>
        <w:kinsoku/>
        <w:wordWrap/>
        <w:overflowPunct/>
        <w:topLinePunct w:val="0"/>
        <w:autoSpaceDE/>
        <w:autoSpaceDN/>
        <w:bidi w:val="0"/>
        <w:adjustRightInd/>
        <w:snapToGrid/>
        <w:spacing w:line="600" w:lineRule="exact"/>
        <w:ind w:firstLine="480"/>
        <w:textAlignment w:val="auto"/>
        <w:rPr>
          <w:rFonts w:ascii="微软雅黑" w:hAnsi="微软雅黑" w:eastAsia="微软雅黑"/>
          <w:sz w:val="24"/>
        </w:rPr>
      </w:pPr>
      <w:r>
        <w:rPr>
          <w:rFonts w:hint="eastAsia" w:ascii="微软雅黑" w:hAnsi="微软雅黑" w:eastAsia="微软雅黑"/>
          <w:sz w:val="24"/>
        </w:rPr>
        <w:t>2024年第四季度乘客满意度测评样本采集范围分布于全市</w:t>
      </w:r>
      <w:r>
        <w:rPr>
          <w:rFonts w:ascii="微软雅黑" w:hAnsi="微软雅黑" w:eastAsia="微软雅黑"/>
          <w:sz w:val="24"/>
        </w:rPr>
        <w:t>20</w:t>
      </w:r>
      <w:r>
        <w:rPr>
          <w:rFonts w:hint="eastAsia" w:ascii="微软雅黑" w:hAnsi="微软雅黑" w:eastAsia="微软雅黑"/>
          <w:sz w:val="24"/>
        </w:rPr>
        <w:t>条轨道交通线路（含磁浮线），覆盖所有车站，共获取有效样本</w:t>
      </w:r>
      <w:r>
        <w:rPr>
          <w:rFonts w:ascii="微软雅黑" w:hAnsi="微软雅黑"/>
          <w:sz w:val="24"/>
        </w:rPr>
        <w:t>17634</w:t>
      </w:r>
      <w:r>
        <w:rPr>
          <w:rFonts w:hint="eastAsia" w:ascii="微软雅黑" w:hAnsi="微软雅黑" w:eastAsia="微软雅黑"/>
          <w:sz w:val="24"/>
        </w:rPr>
        <w:t>份。</w:t>
      </w:r>
    </w:p>
    <w:p w14:paraId="790DD8FE">
      <w:pPr>
        <w:pStyle w:val="30"/>
        <w:snapToGrid w:val="0"/>
        <w:ind w:firstLine="0" w:firstLineChars="0"/>
        <w:rPr>
          <w:rFonts w:ascii="宋体" w:hAnsi="宋体"/>
          <w:b/>
          <w:bCs/>
          <w:kern w:val="44"/>
          <w:sz w:val="28"/>
          <w:szCs w:val="44"/>
        </w:rPr>
      </w:pPr>
    </w:p>
    <w:p w14:paraId="3404C625">
      <w:pPr>
        <w:pStyle w:val="30"/>
        <w:snapToGrid w:val="0"/>
        <w:ind w:firstLine="0" w:firstLineChars="0"/>
        <w:rPr>
          <w:rFonts w:ascii="宋体" w:hAnsi="宋体"/>
          <w:b/>
          <w:bCs/>
          <w:kern w:val="44"/>
          <w:sz w:val="28"/>
          <w:szCs w:val="44"/>
        </w:rPr>
      </w:pPr>
    </w:p>
    <w:p w14:paraId="5607D7D9">
      <w:pPr>
        <w:pStyle w:val="30"/>
        <w:snapToGrid w:val="0"/>
        <w:ind w:firstLine="0" w:firstLineChars="0"/>
        <w:rPr>
          <w:rFonts w:ascii="宋体" w:hAnsi="宋体"/>
          <w:b/>
          <w:bCs/>
          <w:kern w:val="44"/>
          <w:sz w:val="28"/>
          <w:szCs w:val="44"/>
        </w:rPr>
      </w:pPr>
    </w:p>
    <w:p w14:paraId="75ADEF10">
      <w:pPr>
        <w:pStyle w:val="30"/>
        <w:snapToGrid w:val="0"/>
        <w:ind w:firstLine="0" w:firstLineChars="0"/>
        <w:rPr>
          <w:rFonts w:ascii="宋体" w:hAnsi="宋体"/>
          <w:b/>
          <w:bCs/>
          <w:kern w:val="44"/>
          <w:sz w:val="28"/>
          <w:szCs w:val="44"/>
        </w:rPr>
      </w:pPr>
    </w:p>
    <w:p w14:paraId="5D336B0B">
      <w:pPr>
        <w:pStyle w:val="30"/>
        <w:snapToGrid w:val="0"/>
        <w:ind w:firstLine="0" w:firstLineChars="0"/>
        <w:rPr>
          <w:rFonts w:ascii="宋体" w:hAnsi="宋体"/>
          <w:b/>
          <w:bCs/>
          <w:kern w:val="44"/>
          <w:sz w:val="28"/>
          <w:szCs w:val="44"/>
        </w:rPr>
      </w:pPr>
    </w:p>
    <w:p w14:paraId="5BF96EB8">
      <w:pPr>
        <w:pStyle w:val="30"/>
        <w:snapToGrid w:val="0"/>
        <w:ind w:firstLine="0" w:firstLineChars="0"/>
        <w:rPr>
          <w:rFonts w:ascii="宋体" w:hAnsi="宋体"/>
          <w:b/>
          <w:bCs/>
          <w:kern w:val="44"/>
          <w:sz w:val="28"/>
          <w:szCs w:val="44"/>
        </w:rPr>
      </w:pPr>
    </w:p>
    <w:p w14:paraId="260D2F0D">
      <w:pPr>
        <w:pStyle w:val="30"/>
        <w:snapToGrid w:val="0"/>
        <w:ind w:firstLine="0" w:firstLineChars="0"/>
        <w:rPr>
          <w:rFonts w:ascii="宋体" w:hAnsi="宋体"/>
          <w:b/>
          <w:bCs/>
          <w:kern w:val="44"/>
          <w:sz w:val="28"/>
          <w:szCs w:val="44"/>
        </w:rPr>
      </w:pPr>
    </w:p>
    <w:p w14:paraId="70190953">
      <w:pPr>
        <w:pStyle w:val="30"/>
        <w:snapToGrid w:val="0"/>
        <w:ind w:firstLine="0" w:firstLineChars="0"/>
        <w:rPr>
          <w:rFonts w:hint="eastAsia" w:ascii="宋体" w:hAnsi="宋体"/>
          <w:b/>
          <w:bCs/>
          <w:kern w:val="44"/>
          <w:sz w:val="28"/>
          <w:szCs w:val="44"/>
        </w:rPr>
      </w:pPr>
    </w:p>
    <w:p w14:paraId="2C7F6A75">
      <w:pPr>
        <w:pStyle w:val="2"/>
        <w:pageBreakBefore w:val="0"/>
        <w:widowControl w:val="0"/>
        <w:kinsoku/>
        <w:wordWrap/>
        <w:overflowPunct/>
        <w:topLinePunct w:val="0"/>
        <w:autoSpaceDE/>
        <w:autoSpaceDN/>
        <w:bidi w:val="0"/>
        <w:adjustRightInd/>
        <w:spacing w:afterLines="50" w:line="600" w:lineRule="exact"/>
        <w:textAlignment w:val="auto"/>
      </w:pPr>
      <w:r>
        <w:rPr>
          <w:rFonts w:hint="eastAsia"/>
        </w:rPr>
        <w:t>二、主要结论</w:t>
      </w:r>
    </w:p>
    <w:p w14:paraId="3042E237">
      <w:pPr>
        <w:pStyle w:val="8"/>
        <w:pageBreakBefore w:val="0"/>
        <w:widowControl w:val="0"/>
        <w:kinsoku/>
        <w:wordWrap/>
        <w:overflowPunct/>
        <w:topLinePunct w:val="0"/>
        <w:autoSpaceDE/>
        <w:autoSpaceDN/>
        <w:bidi w:val="0"/>
        <w:adjustRightInd/>
        <w:snapToGrid w:val="0"/>
        <w:spacing w:afterLines="50" w:line="600" w:lineRule="exact"/>
        <w:ind w:firstLine="484" w:firstLineChars="201"/>
        <w:jc w:val="left"/>
        <w:textAlignment w:val="auto"/>
        <w:rPr>
          <w:rFonts w:ascii="微软雅黑" w:hAnsi="微软雅黑" w:eastAsia="微软雅黑"/>
          <w:b/>
          <w:sz w:val="24"/>
          <w:szCs w:val="24"/>
        </w:rPr>
      </w:pPr>
      <w:r>
        <w:rPr>
          <w:rFonts w:hint="eastAsia" w:ascii="微软雅黑" w:hAnsi="微软雅黑" w:eastAsia="微软雅黑"/>
          <w:b/>
          <w:sz w:val="24"/>
          <w:szCs w:val="24"/>
        </w:rPr>
        <w:t>1、上海市轨道交通服务质量乘客满意度处于较好水平</w:t>
      </w:r>
    </w:p>
    <w:p w14:paraId="7418FCDA">
      <w:pPr>
        <w:pageBreakBefore w:val="0"/>
        <w:widowControl w:val="0"/>
        <w:kinsoku/>
        <w:wordWrap/>
        <w:overflowPunct/>
        <w:topLinePunct w:val="0"/>
        <w:autoSpaceDE/>
        <w:autoSpaceDN/>
        <w:bidi w:val="0"/>
        <w:adjustRightInd/>
        <w:snapToGrid w:val="0"/>
        <w:spacing w:after="160" w:line="600" w:lineRule="exact"/>
        <w:ind w:firstLine="480" w:firstLineChars="200"/>
        <w:textAlignment w:val="auto"/>
        <w:rPr>
          <w:rFonts w:hint="eastAsia" w:ascii="微软雅黑" w:hAnsi="微软雅黑" w:eastAsia="微软雅黑"/>
          <w:sz w:val="24"/>
          <w:szCs w:val="21"/>
        </w:rPr>
      </w:pPr>
      <w:r>
        <w:rPr>
          <w:rFonts w:hint="eastAsia" w:ascii="微软雅黑" w:hAnsi="微软雅黑" w:eastAsia="微软雅黑"/>
          <w:sz w:val="24"/>
          <w:szCs w:val="21"/>
        </w:rPr>
        <w:t>2024年第四季度，上海市轨道交通运营服务乘客总体满意度为89.75，处于满意与较满意之间。与上季度相比，乘客满意度有所提升。</w:t>
      </w:r>
    </w:p>
    <w:p w14:paraId="2EF801CD">
      <w:pPr>
        <w:pageBreakBefore w:val="0"/>
        <w:widowControl w:val="0"/>
        <w:kinsoku/>
        <w:wordWrap/>
        <w:overflowPunct/>
        <w:topLinePunct w:val="0"/>
        <w:autoSpaceDE/>
        <w:autoSpaceDN/>
        <w:bidi w:val="0"/>
        <w:adjustRightInd/>
        <w:snapToGrid w:val="0"/>
        <w:spacing w:after="160" w:line="600" w:lineRule="exact"/>
        <w:ind w:firstLine="480" w:firstLineChars="200"/>
        <w:textAlignment w:val="auto"/>
        <w:rPr>
          <w:rFonts w:hint="eastAsia" w:ascii="微软雅黑" w:hAnsi="微软雅黑" w:eastAsia="微软雅黑"/>
          <w:sz w:val="24"/>
          <w:szCs w:val="21"/>
        </w:rPr>
      </w:pPr>
      <w:r>
        <w:rPr>
          <w:rFonts w:hint="eastAsia" w:ascii="微软雅黑" w:hAnsi="微软雅黑" w:eastAsia="微软雅黑"/>
          <w:sz w:val="24"/>
          <w:szCs w:val="21"/>
        </w:rPr>
        <w:t>各项大类指标中，乘客对“优质服务”和“运营安全”的满意度相对较高，分别为90.15和89.89。各线路中，乘客对磁浮线、14号线和18号线的满意度相对较高，分别为93.31、93.08和92.97，而对1号线、2号线和11号线的满意度相对较低。</w:t>
      </w:r>
    </w:p>
    <w:p w14:paraId="0122C66E">
      <w:pPr>
        <w:snapToGrid w:val="0"/>
        <w:spacing w:after="160" w:line="360" w:lineRule="auto"/>
        <w:jc w:val="center"/>
        <w:rPr>
          <w:rFonts w:hint="eastAsia" w:ascii="微软雅黑" w:hAnsi="微软雅黑" w:eastAsia="微软雅黑" w:cs="仿宋_GB2312"/>
          <w:sz w:val="24"/>
          <w:szCs w:val="21"/>
        </w:rPr>
      </w:pPr>
      <w:r>
        <w:rPr>
          <w:rFonts w:hint="eastAsia" w:ascii="微软雅黑" w:hAnsi="微软雅黑" w:eastAsia="微软雅黑" w:cs="仿宋_GB2312"/>
          <w:sz w:val="24"/>
          <w:szCs w:val="21"/>
        </w:rPr>
        <w:drawing>
          <wp:inline distT="0" distB="0" distL="0" distR="0">
            <wp:extent cx="4387850" cy="5506085"/>
            <wp:effectExtent l="0" t="0" r="0" b="0"/>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noChangeArrowheads="1"/>
                    </pic:cNvPicPr>
                  </pic:nvPicPr>
                  <pic:blipFill>
                    <a:blip r:embed="rId5"/>
                    <a:srcRect/>
                    <a:stretch>
                      <a:fillRect/>
                    </a:stretch>
                  </pic:blipFill>
                  <pic:spPr>
                    <a:xfrm>
                      <a:off x="0" y="0"/>
                      <a:ext cx="4387850" cy="5506085"/>
                    </a:xfrm>
                    <a:prstGeom prst="rect">
                      <a:avLst/>
                    </a:prstGeom>
                    <a:noFill/>
                  </pic:spPr>
                </pic:pic>
              </a:graphicData>
            </a:graphic>
          </wp:inline>
        </w:drawing>
      </w:r>
    </w:p>
    <w:p w14:paraId="5986F3DA">
      <w:pPr>
        <w:pStyle w:val="8"/>
        <w:keepNext w:val="0"/>
        <w:keepLines w:val="0"/>
        <w:pageBreakBefore w:val="0"/>
        <w:widowControl w:val="0"/>
        <w:kinsoku/>
        <w:wordWrap/>
        <w:overflowPunct/>
        <w:topLinePunct w:val="0"/>
        <w:autoSpaceDE/>
        <w:autoSpaceDN/>
        <w:bidi w:val="0"/>
        <w:adjustRightInd/>
        <w:snapToGrid w:val="0"/>
        <w:spacing w:afterLines="50" w:line="600" w:lineRule="exact"/>
        <w:ind w:firstLine="484" w:firstLineChars="201"/>
        <w:jc w:val="left"/>
        <w:textAlignment w:val="auto"/>
        <w:rPr>
          <w:rFonts w:ascii="微软雅黑" w:hAnsi="微软雅黑" w:eastAsia="微软雅黑"/>
          <w:b/>
          <w:sz w:val="24"/>
          <w:szCs w:val="24"/>
        </w:rPr>
      </w:pPr>
      <w:r>
        <w:rPr>
          <w:rFonts w:ascii="微软雅黑" w:hAnsi="微软雅黑" w:eastAsia="微软雅黑"/>
          <w:b/>
          <w:sz w:val="24"/>
          <w:szCs w:val="24"/>
        </w:rPr>
        <w:t>2</w:t>
      </w:r>
      <w:r>
        <w:rPr>
          <w:rFonts w:hint="eastAsia" w:ascii="微软雅黑" w:hAnsi="微软雅黑" w:eastAsia="微软雅黑"/>
          <w:b/>
          <w:sz w:val="24"/>
          <w:szCs w:val="24"/>
        </w:rPr>
        <w:t>、运营安全评价较高，轨道交通安全出行环境日益提升</w:t>
      </w:r>
    </w:p>
    <w:p w14:paraId="1DBC2E78">
      <w:pPr>
        <w:keepNext w:val="0"/>
        <w:keepLines w:val="0"/>
        <w:pageBreakBefore w:val="0"/>
        <w:widowControl w:val="0"/>
        <w:kinsoku/>
        <w:wordWrap/>
        <w:overflowPunct/>
        <w:topLinePunct w:val="0"/>
        <w:autoSpaceDE/>
        <w:autoSpaceDN/>
        <w:bidi w:val="0"/>
        <w:adjustRightInd/>
        <w:snapToGrid w:val="0"/>
        <w:spacing w:beforeLines="50" w:after="160" w:line="600" w:lineRule="exact"/>
        <w:ind w:right="42" w:rightChars="20" w:firstLine="480" w:firstLineChars="200"/>
        <w:textAlignment w:val="auto"/>
        <w:rPr>
          <w:rFonts w:hint="eastAsia" w:ascii="微软雅黑" w:hAnsi="微软雅黑" w:eastAsia="微软雅黑" w:cs="仿宋_GB2312"/>
          <w:color w:val="000000"/>
          <w:sz w:val="24"/>
          <w:szCs w:val="21"/>
        </w:rPr>
      </w:pPr>
      <w:r>
        <w:rPr>
          <w:rFonts w:hint="eastAsia" w:ascii="微软雅黑" w:hAnsi="微软雅黑" w:eastAsia="微软雅黑" w:cs="仿宋_GB2312"/>
          <w:color w:val="000000"/>
          <w:sz w:val="24"/>
          <w:szCs w:val="21"/>
        </w:rPr>
        <w:t>本季度轨道交通运营服务乘客满意度测评结果显示，乘客们对“运营安全”的满意度较高，达</w:t>
      </w:r>
      <w:r>
        <w:rPr>
          <w:rFonts w:ascii="微软雅黑" w:hAnsi="微软雅黑" w:eastAsia="微软雅黑" w:cs="仿宋_GB2312"/>
          <w:color w:val="000000"/>
          <w:sz w:val="24"/>
          <w:szCs w:val="21"/>
        </w:rPr>
        <w:t>89.89</w:t>
      </w:r>
      <w:r>
        <w:rPr>
          <w:rFonts w:hint="eastAsia" w:ascii="微软雅黑" w:hAnsi="微软雅黑" w:eastAsia="微软雅黑" w:cs="仿宋_GB2312"/>
          <w:color w:val="000000"/>
          <w:sz w:val="24"/>
          <w:szCs w:val="21"/>
        </w:rPr>
        <w:t>。</w:t>
      </w:r>
    </w:p>
    <w:p w14:paraId="7CCA5E03">
      <w:pPr>
        <w:keepNext w:val="0"/>
        <w:keepLines w:val="0"/>
        <w:pageBreakBefore w:val="0"/>
        <w:widowControl w:val="0"/>
        <w:kinsoku/>
        <w:wordWrap/>
        <w:overflowPunct/>
        <w:topLinePunct w:val="0"/>
        <w:autoSpaceDE/>
        <w:autoSpaceDN/>
        <w:bidi w:val="0"/>
        <w:adjustRightInd/>
        <w:snapToGrid w:val="0"/>
        <w:spacing w:beforeLines="50" w:after="160" w:line="600" w:lineRule="exact"/>
        <w:ind w:right="42" w:rightChars="20" w:firstLine="480" w:firstLineChars="200"/>
        <w:textAlignment w:val="auto"/>
        <w:rPr>
          <w:rFonts w:hint="eastAsia" w:ascii="微软雅黑" w:hAnsi="微软雅黑" w:eastAsia="微软雅黑"/>
          <w:sz w:val="24"/>
          <w:szCs w:val="21"/>
        </w:rPr>
      </w:pPr>
      <w:r>
        <w:rPr>
          <w:rFonts w:hint="eastAsia" w:ascii="微软雅黑" w:hAnsi="微软雅黑" w:eastAsia="微软雅黑" w:cs="仿宋_GB2312"/>
          <w:color w:val="000000"/>
          <w:sz w:val="24"/>
          <w:szCs w:val="21"/>
        </w:rPr>
        <w:t>从“运营安全”的各项指标看，</w:t>
      </w:r>
      <w:r>
        <w:rPr>
          <w:rFonts w:hint="eastAsia" w:ascii="微软雅黑" w:hAnsi="微软雅黑" w:eastAsia="微软雅黑"/>
          <w:color w:val="000000"/>
          <w:sz w:val="24"/>
          <w:szCs w:val="21"/>
        </w:rPr>
        <w:t>“安全开关门（列车门、屏蔽门）</w:t>
      </w:r>
      <w:r>
        <w:rPr>
          <w:rFonts w:hint="eastAsia" w:ascii="微软雅黑" w:hAnsi="微软雅黑" w:eastAsia="微软雅黑"/>
          <w:sz w:val="24"/>
          <w:szCs w:val="21"/>
        </w:rPr>
        <w:t>”、</w:t>
      </w:r>
      <w:r>
        <w:rPr>
          <w:rFonts w:hint="eastAsia" w:ascii="微软雅黑" w:hAnsi="微软雅黑" w:eastAsia="微软雅黑"/>
          <w:color w:val="000000"/>
          <w:sz w:val="24"/>
          <w:szCs w:val="21"/>
        </w:rPr>
        <w:t>“</w:t>
      </w:r>
      <w:r>
        <w:rPr>
          <w:rFonts w:hint="eastAsia" w:ascii="微软雅黑" w:hAnsi="微软雅黑" w:eastAsia="微软雅黑"/>
          <w:sz w:val="24"/>
          <w:szCs w:val="21"/>
        </w:rPr>
        <w:t>站务员维护车站秩序”及“进出站、候车、乘车等全过程感觉安全可靠”的乘客满意度相对较高，分别达到</w:t>
      </w:r>
      <w:r>
        <w:rPr>
          <w:rFonts w:ascii="微软雅黑" w:hAnsi="微软雅黑" w:eastAsia="微软雅黑"/>
          <w:sz w:val="24"/>
          <w:szCs w:val="21"/>
        </w:rPr>
        <w:t>90.58</w:t>
      </w:r>
      <w:r>
        <w:rPr>
          <w:rFonts w:hint="eastAsia" w:ascii="微软雅黑" w:hAnsi="微软雅黑" w:eastAsia="微软雅黑"/>
          <w:sz w:val="24"/>
          <w:szCs w:val="21"/>
        </w:rPr>
        <w:t>、</w:t>
      </w:r>
      <w:r>
        <w:rPr>
          <w:rFonts w:ascii="微软雅黑" w:hAnsi="微软雅黑" w:eastAsia="微软雅黑"/>
          <w:sz w:val="24"/>
          <w:szCs w:val="21"/>
        </w:rPr>
        <w:t>90.09</w:t>
      </w:r>
      <w:r>
        <w:rPr>
          <w:rFonts w:hint="eastAsia" w:ascii="微软雅黑" w:hAnsi="微软雅黑" w:eastAsia="微软雅黑"/>
          <w:sz w:val="24"/>
          <w:szCs w:val="21"/>
        </w:rPr>
        <w:t>和</w:t>
      </w:r>
      <w:r>
        <w:rPr>
          <w:rFonts w:ascii="微软雅黑" w:hAnsi="微软雅黑" w:eastAsia="微软雅黑"/>
          <w:sz w:val="24"/>
          <w:szCs w:val="21"/>
        </w:rPr>
        <w:t>90.05</w:t>
      </w:r>
      <w:r>
        <w:rPr>
          <w:rFonts w:hint="eastAsia" w:ascii="微软雅黑" w:hAnsi="微软雅黑" w:eastAsia="微软雅黑"/>
          <w:sz w:val="24"/>
          <w:szCs w:val="21"/>
        </w:rPr>
        <w:t>，说明上海轨道交通运营安全管理得到了乘客的肯定，轨道交通安全出行环境日益提升。希望相关运营单位能持续做好运营安全保障工作，在应急保障、大客流管控和行车安全等方面能够继续做好相关工作。</w:t>
      </w:r>
    </w:p>
    <w:p w14:paraId="05B97E26">
      <w:pPr>
        <w:keepNext w:val="0"/>
        <w:keepLines w:val="0"/>
        <w:pageBreakBefore w:val="0"/>
        <w:widowControl w:val="0"/>
        <w:kinsoku/>
        <w:wordWrap/>
        <w:overflowPunct/>
        <w:topLinePunct w:val="0"/>
        <w:autoSpaceDE/>
        <w:autoSpaceDN/>
        <w:bidi w:val="0"/>
        <w:adjustRightInd/>
        <w:snapToGrid w:val="0"/>
        <w:spacing w:beforeLines="50" w:line="600" w:lineRule="exact"/>
        <w:ind w:right="42" w:rightChars="20" w:firstLine="480" w:firstLineChars="200"/>
        <w:textAlignment w:val="auto"/>
        <w:rPr>
          <w:rFonts w:hint="eastAsia" w:ascii="微软雅黑" w:hAnsi="微软雅黑" w:eastAsia="微软雅黑" w:cs="仿宋_GB2312"/>
          <w:sz w:val="24"/>
          <w:szCs w:val="21"/>
        </w:rPr>
      </w:pPr>
    </w:p>
    <w:p w14:paraId="2E16E260">
      <w:pPr>
        <w:pStyle w:val="8"/>
        <w:keepNext w:val="0"/>
        <w:keepLines w:val="0"/>
        <w:pageBreakBefore w:val="0"/>
        <w:widowControl w:val="0"/>
        <w:kinsoku/>
        <w:wordWrap/>
        <w:overflowPunct/>
        <w:topLinePunct w:val="0"/>
        <w:autoSpaceDE/>
        <w:autoSpaceDN/>
        <w:bidi w:val="0"/>
        <w:adjustRightInd/>
        <w:snapToGrid w:val="0"/>
        <w:spacing w:afterLines="50" w:line="600" w:lineRule="exact"/>
        <w:ind w:firstLine="484" w:firstLineChars="201"/>
        <w:jc w:val="left"/>
        <w:textAlignment w:val="auto"/>
        <w:rPr>
          <w:rFonts w:ascii="微软雅黑" w:hAnsi="微软雅黑" w:eastAsia="微软雅黑"/>
          <w:b/>
          <w:sz w:val="24"/>
          <w:szCs w:val="24"/>
        </w:rPr>
      </w:pPr>
      <w:r>
        <w:rPr>
          <w:rFonts w:ascii="微软雅黑" w:hAnsi="微软雅黑" w:eastAsia="微软雅黑"/>
          <w:b/>
          <w:sz w:val="24"/>
          <w:szCs w:val="24"/>
        </w:rPr>
        <w:t>3</w:t>
      </w:r>
      <w:r>
        <w:rPr>
          <w:rFonts w:hint="eastAsia" w:ascii="微软雅黑" w:hAnsi="微软雅黑" w:eastAsia="微软雅黑"/>
          <w:b/>
          <w:sz w:val="24"/>
          <w:szCs w:val="24"/>
        </w:rPr>
        <w:t>、</w:t>
      </w:r>
      <w:r>
        <w:rPr>
          <w:rFonts w:hint="eastAsia" w:ascii="微软雅黑" w:hAnsi="微软雅黑" w:eastAsia="微软雅黑" w:cs="仿宋_GB2312"/>
          <w:b/>
          <w:bCs/>
          <w:kern w:val="2"/>
          <w:sz w:val="24"/>
          <w:szCs w:val="21"/>
        </w:rPr>
        <w:t>持续完善进出站指引，不断提高出行便捷性</w:t>
      </w:r>
    </w:p>
    <w:p w14:paraId="73E4ED8D">
      <w:pPr>
        <w:keepNext w:val="0"/>
        <w:keepLines w:val="0"/>
        <w:pageBreakBefore w:val="0"/>
        <w:widowControl w:val="0"/>
        <w:kinsoku/>
        <w:wordWrap/>
        <w:overflowPunct/>
        <w:topLinePunct w:val="0"/>
        <w:autoSpaceDE/>
        <w:autoSpaceDN/>
        <w:bidi w:val="0"/>
        <w:adjustRightInd/>
        <w:snapToGrid w:val="0"/>
        <w:spacing w:beforeLines="50" w:after="160" w:line="600" w:lineRule="exact"/>
        <w:ind w:right="42" w:rightChars="20" w:firstLine="480" w:firstLineChars="200"/>
        <w:textAlignment w:val="auto"/>
        <w:rPr>
          <w:rFonts w:hint="eastAsia" w:ascii="微软雅黑" w:hAnsi="微软雅黑" w:eastAsia="微软雅黑"/>
          <w:bCs/>
          <w:sz w:val="24"/>
          <w:szCs w:val="21"/>
        </w:rPr>
      </w:pPr>
      <w:r>
        <w:rPr>
          <w:rFonts w:hint="eastAsia" w:ascii="微软雅黑" w:hAnsi="微软雅黑" w:eastAsia="微软雅黑"/>
          <w:bCs/>
          <w:sz w:val="24"/>
          <w:szCs w:val="21"/>
        </w:rPr>
        <w:t>本次测评中，乘客对“进出站指引等信息清晰醒目”方面的评价为</w:t>
      </w:r>
      <w:r>
        <w:rPr>
          <w:rFonts w:ascii="微软雅黑" w:hAnsi="微软雅黑" w:eastAsia="微软雅黑"/>
          <w:bCs/>
          <w:sz w:val="24"/>
          <w:szCs w:val="21"/>
        </w:rPr>
        <w:t>89.36</w:t>
      </w:r>
      <w:r>
        <w:rPr>
          <w:rFonts w:hint="eastAsia" w:ascii="微软雅黑" w:hAnsi="微软雅黑" w:eastAsia="微软雅黑"/>
          <w:bCs/>
          <w:sz w:val="24"/>
          <w:szCs w:val="21"/>
        </w:rPr>
        <w:t>，在所有具体指标中处于中等水平。</w:t>
      </w:r>
    </w:p>
    <w:p w14:paraId="1F7AABAC">
      <w:pPr>
        <w:keepNext w:val="0"/>
        <w:keepLines w:val="0"/>
        <w:pageBreakBefore w:val="0"/>
        <w:widowControl w:val="0"/>
        <w:kinsoku/>
        <w:wordWrap/>
        <w:overflowPunct/>
        <w:topLinePunct w:val="0"/>
        <w:autoSpaceDE/>
        <w:autoSpaceDN/>
        <w:bidi w:val="0"/>
        <w:adjustRightInd/>
        <w:snapToGrid w:val="0"/>
        <w:spacing w:beforeLines="50" w:after="160" w:line="600" w:lineRule="exact"/>
        <w:ind w:right="42" w:rightChars="20" w:firstLine="480" w:firstLineChars="200"/>
        <w:textAlignment w:val="auto"/>
        <w:rPr>
          <w:rFonts w:hint="eastAsia" w:ascii="微软雅黑" w:hAnsi="微软雅黑" w:eastAsia="微软雅黑"/>
          <w:bCs/>
          <w:sz w:val="24"/>
          <w:szCs w:val="21"/>
        </w:rPr>
      </w:pPr>
      <w:r>
        <w:rPr>
          <w:rFonts w:hint="eastAsia" w:ascii="微软雅黑" w:hAnsi="微软雅黑" w:eastAsia="微软雅黑"/>
          <w:bCs/>
          <w:sz w:val="24"/>
          <w:szCs w:val="21"/>
        </w:rPr>
        <w:t>近年来，上海轨道交通不断完善进出站指引，如在进出口处增设综合信息牌、张贴无障碍设施指引图等，但从乘客的反馈来看，进出站指引的醒目度和连续性仍需加强，有4.1%的乘客反映进出站指引不醒目，还有3.1%的乘客反映进出站指引连续性差。从乘客特征来看，主要是外地乘客和老龄乘客的评价相对较低，外省市乘客对该方面的评价为</w:t>
      </w:r>
      <w:r>
        <w:rPr>
          <w:rFonts w:ascii="微软雅黑" w:hAnsi="微软雅黑" w:eastAsia="微软雅黑"/>
          <w:bCs/>
          <w:sz w:val="24"/>
          <w:szCs w:val="21"/>
        </w:rPr>
        <w:t>88.07</w:t>
      </w:r>
      <w:r>
        <w:rPr>
          <w:rFonts w:hint="eastAsia" w:ascii="微软雅黑" w:hAnsi="微软雅黑" w:eastAsia="微软雅黑"/>
          <w:bCs/>
          <w:sz w:val="24"/>
          <w:szCs w:val="21"/>
        </w:rPr>
        <w:t>，低于上海市乘客的评价（89.60），61至69岁和70岁以上的乘客对该方面的评价分别为</w:t>
      </w:r>
      <w:r>
        <w:rPr>
          <w:rFonts w:ascii="微软雅黑" w:hAnsi="微软雅黑" w:eastAsia="微软雅黑"/>
          <w:bCs/>
          <w:sz w:val="24"/>
          <w:szCs w:val="21"/>
        </w:rPr>
        <w:t>87.64</w:t>
      </w:r>
      <w:r>
        <w:rPr>
          <w:rFonts w:hint="eastAsia" w:ascii="微软雅黑" w:hAnsi="微软雅黑" w:eastAsia="微软雅黑"/>
          <w:bCs/>
          <w:sz w:val="24"/>
          <w:szCs w:val="21"/>
        </w:rPr>
        <w:t>和</w:t>
      </w:r>
      <w:r>
        <w:rPr>
          <w:rFonts w:ascii="微软雅黑" w:hAnsi="微软雅黑" w:eastAsia="微软雅黑"/>
          <w:bCs/>
          <w:sz w:val="24"/>
          <w:szCs w:val="21"/>
        </w:rPr>
        <w:t>87.71</w:t>
      </w:r>
      <w:r>
        <w:rPr>
          <w:rFonts w:hint="eastAsia" w:ascii="微软雅黑" w:hAnsi="微软雅黑" w:eastAsia="微软雅黑"/>
          <w:bCs/>
          <w:sz w:val="24"/>
          <w:szCs w:val="21"/>
        </w:rPr>
        <w:t>，低于其他年龄段乘客的评价。对此，希望相关运营单位针对指引标识进一步调研，了解乘客的共性需求和特殊需求，系统地优化导向标识，进一步提高广大乘客出行的便捷性。</w:t>
      </w:r>
    </w:p>
    <w:p w14:paraId="58C87296">
      <w:pPr>
        <w:keepNext w:val="0"/>
        <w:keepLines w:val="0"/>
        <w:pageBreakBefore w:val="0"/>
        <w:widowControl w:val="0"/>
        <w:kinsoku/>
        <w:wordWrap/>
        <w:overflowPunct/>
        <w:topLinePunct w:val="0"/>
        <w:autoSpaceDE/>
        <w:autoSpaceDN/>
        <w:bidi w:val="0"/>
        <w:adjustRightInd/>
        <w:snapToGrid w:val="0"/>
        <w:spacing w:beforeLines="50" w:line="600" w:lineRule="exact"/>
        <w:ind w:right="42" w:rightChars="20" w:firstLine="482" w:firstLineChars="200"/>
        <w:textAlignment w:val="auto"/>
        <w:rPr>
          <w:rFonts w:hint="eastAsia" w:ascii="微软雅黑" w:hAnsi="微软雅黑" w:eastAsia="微软雅黑" w:cs="仿宋_GB2312"/>
          <w:b/>
          <w:bCs/>
          <w:sz w:val="24"/>
          <w:szCs w:val="21"/>
        </w:rPr>
      </w:pPr>
      <w:r>
        <w:rPr>
          <w:rFonts w:ascii="微软雅黑" w:hAnsi="微软雅黑" w:eastAsia="微软雅黑"/>
          <w:b/>
          <w:sz w:val="24"/>
          <w:szCs w:val="24"/>
        </w:rPr>
        <w:t>4</w:t>
      </w:r>
      <w:r>
        <w:rPr>
          <w:rFonts w:hint="eastAsia" w:ascii="微软雅黑" w:hAnsi="微软雅黑" w:eastAsia="微软雅黑"/>
          <w:b/>
          <w:sz w:val="24"/>
          <w:szCs w:val="24"/>
        </w:rPr>
        <w:t>、</w:t>
      </w:r>
      <w:r>
        <w:rPr>
          <w:rFonts w:hint="eastAsia" w:ascii="微软雅黑" w:hAnsi="微软雅黑" w:eastAsia="微软雅黑" w:cs="仿宋_GB2312"/>
          <w:b/>
          <w:bCs/>
          <w:sz w:val="24"/>
          <w:szCs w:val="21"/>
        </w:rPr>
        <w:t>加强站内引导，强化乘客文明出行意识</w:t>
      </w:r>
    </w:p>
    <w:p w14:paraId="2A3C1B24">
      <w:pPr>
        <w:keepNext w:val="0"/>
        <w:keepLines w:val="0"/>
        <w:pageBreakBefore w:val="0"/>
        <w:widowControl w:val="0"/>
        <w:kinsoku/>
        <w:wordWrap/>
        <w:overflowPunct/>
        <w:topLinePunct w:val="0"/>
        <w:autoSpaceDE/>
        <w:autoSpaceDN/>
        <w:bidi w:val="0"/>
        <w:adjustRightInd/>
        <w:snapToGrid w:val="0"/>
        <w:spacing w:beforeLines="50" w:line="600" w:lineRule="exact"/>
        <w:ind w:right="42" w:rightChars="20" w:firstLine="480" w:firstLineChars="200"/>
        <w:textAlignment w:val="auto"/>
        <w:rPr>
          <w:rFonts w:hint="eastAsia" w:ascii="微软雅黑" w:hAnsi="微软雅黑" w:eastAsia="微软雅黑"/>
          <w:bCs/>
          <w:sz w:val="24"/>
          <w:szCs w:val="21"/>
        </w:rPr>
      </w:pPr>
      <w:r>
        <w:rPr>
          <w:rFonts w:hint="eastAsia" w:ascii="微软雅黑" w:hAnsi="微软雅黑" w:eastAsia="微软雅黑"/>
          <w:bCs/>
          <w:sz w:val="24"/>
          <w:szCs w:val="21"/>
        </w:rPr>
        <w:t>本次测评中，乘客对“文明乘车宣传（先下后上，有序乘车）”方面的评价为</w:t>
      </w:r>
      <w:r>
        <w:rPr>
          <w:rFonts w:ascii="微软雅黑" w:hAnsi="微软雅黑" w:eastAsia="微软雅黑"/>
          <w:bCs/>
          <w:sz w:val="24"/>
          <w:szCs w:val="21"/>
        </w:rPr>
        <w:t>89.20</w:t>
      </w:r>
      <w:r>
        <w:rPr>
          <w:rFonts w:hint="eastAsia" w:ascii="微软雅黑" w:hAnsi="微软雅黑" w:eastAsia="微软雅黑"/>
          <w:bCs/>
          <w:sz w:val="24"/>
          <w:szCs w:val="21"/>
        </w:rPr>
        <w:t>，是所有具体指标中评价相对较低的指标。与上季度相比，该方面的评价下降了0.56。</w:t>
      </w:r>
    </w:p>
    <w:p w14:paraId="3617D6AA">
      <w:pPr>
        <w:keepNext w:val="0"/>
        <w:keepLines w:val="0"/>
        <w:pageBreakBefore w:val="0"/>
        <w:widowControl w:val="0"/>
        <w:kinsoku/>
        <w:wordWrap/>
        <w:overflowPunct/>
        <w:topLinePunct w:val="0"/>
        <w:autoSpaceDE/>
        <w:autoSpaceDN/>
        <w:bidi w:val="0"/>
        <w:adjustRightInd/>
        <w:snapToGrid w:val="0"/>
        <w:spacing w:beforeLines="50" w:line="600" w:lineRule="exact"/>
        <w:ind w:right="42" w:rightChars="20" w:firstLine="480" w:firstLineChars="200"/>
        <w:textAlignment w:val="auto"/>
        <w:rPr>
          <w:rFonts w:hint="eastAsia" w:ascii="微软雅黑" w:hAnsi="微软雅黑" w:eastAsia="微软雅黑"/>
          <w:bCs/>
          <w:sz w:val="24"/>
          <w:szCs w:val="21"/>
        </w:rPr>
      </w:pPr>
      <w:r>
        <w:rPr>
          <w:rFonts w:hint="eastAsia" w:ascii="微软雅黑" w:hAnsi="微软雅黑" w:eastAsia="微软雅黑"/>
          <w:bCs/>
          <w:sz w:val="24"/>
          <w:szCs w:val="21"/>
        </w:rPr>
        <w:t>乘客反映经常遇到的不文明乘车行为中，未先下后上、声音外放和争抢座位的现象较多，有42.3%的乘客选择了“没有先下后上”，较上季度增加了3.1%。另外，“大声喧哗、声音乱放”和“争抢座位”的行为也相对较多，分别有41.6%和31.3%的乘客反映。部分乘客在意见建议中也提到当前先下后上、手机声音外放的行为很普遍，仅靠广播宣传无法做到较好的劝阻作用，希望工作人员对这方面</w:t>
      </w:r>
      <w:r>
        <w:rPr>
          <w:rFonts w:hint="eastAsia" w:ascii="微软雅黑" w:hAnsi="微软雅黑" w:eastAsia="微软雅黑"/>
          <w:bCs/>
          <w:sz w:val="24"/>
          <w:szCs w:val="21"/>
          <w:lang w:eastAsia="zh-CN"/>
        </w:rPr>
        <w:t>的</w:t>
      </w:r>
      <w:r>
        <w:rPr>
          <w:rFonts w:hint="eastAsia" w:ascii="微软雅黑" w:hAnsi="微软雅黑" w:eastAsia="微软雅黑"/>
          <w:bCs/>
          <w:sz w:val="24"/>
          <w:szCs w:val="21"/>
        </w:rPr>
        <w:t>疏导和管理</w:t>
      </w:r>
      <w:r>
        <w:rPr>
          <w:rFonts w:hint="eastAsia" w:ascii="微软雅黑" w:hAnsi="微软雅黑" w:eastAsia="微软雅黑"/>
          <w:bCs/>
          <w:sz w:val="24"/>
          <w:szCs w:val="21"/>
          <w:lang w:eastAsia="zh-CN"/>
        </w:rPr>
        <w:t>进一步加强</w:t>
      </w:r>
      <w:r>
        <w:rPr>
          <w:rFonts w:hint="eastAsia" w:ascii="微软雅黑" w:hAnsi="微软雅黑" w:eastAsia="微软雅黑"/>
          <w:bCs/>
          <w:sz w:val="24"/>
          <w:szCs w:val="21"/>
        </w:rPr>
        <w:t>。对此，建议相关运营单位一方面要加强文明出行宣传，普及和强化公众文明出行意识。另一方面要加大对文明行为的引导，特别是在早晚高峰期，针对大客流站点，安排工作人员</w:t>
      </w:r>
      <w:r>
        <w:rPr>
          <w:rFonts w:hint="eastAsia" w:ascii="微软雅黑" w:hAnsi="微软雅黑" w:eastAsia="微软雅黑"/>
          <w:bCs/>
          <w:sz w:val="24"/>
          <w:szCs w:val="21"/>
          <w:lang w:eastAsia="zh-CN"/>
        </w:rPr>
        <w:t>进一步</w:t>
      </w:r>
      <w:r>
        <w:rPr>
          <w:rFonts w:hint="eastAsia" w:ascii="微软雅黑" w:hAnsi="微软雅黑" w:eastAsia="微软雅黑"/>
          <w:bCs/>
          <w:sz w:val="24"/>
          <w:szCs w:val="21"/>
        </w:rPr>
        <w:t>做好候车乘车秩序的管理。</w:t>
      </w:r>
    </w:p>
    <w:p w14:paraId="2E0A7E97">
      <w:pPr>
        <w:pStyle w:val="8"/>
        <w:snapToGrid w:val="0"/>
        <w:spacing w:afterLines="50" w:line="360" w:lineRule="auto"/>
        <w:ind w:firstLine="482" w:firstLineChars="201"/>
        <w:jc w:val="left"/>
        <w:rPr>
          <w:rFonts w:ascii="微软雅黑" w:hAnsi="微软雅黑" w:eastAsia="微软雅黑" w:cs="仿宋_GB2312"/>
          <w:sz w:val="24"/>
          <w:szCs w:val="21"/>
        </w:rPr>
      </w:pPr>
      <w:bookmarkStart w:id="0" w:name="_GoBack"/>
      <w:bookmarkEnd w:id="0"/>
    </w:p>
    <w:sectPr>
      <w:pgSz w:w="11906" w:h="16838"/>
      <w:pgMar w:top="1247" w:right="1797" w:bottom="1247" w:left="179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Times New Roman"/>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微软雅黑">
    <w:altName w:val="方正黑体_GBK"/>
    <w:panose1 w:val="020B0503020204020204"/>
    <w:charset w:val="86"/>
    <w:family w:val="swiss"/>
    <w:pitch w:val="default"/>
    <w:sig w:usb0="00000000" w:usb1="00000000" w:usb2="00000016" w:usb3="00000000" w:csb0="0004001F" w:csb1="00000000"/>
  </w:font>
  <w:font w:name="方正黑体_GBK">
    <w:panose1 w:val="02000000000000000000"/>
    <w:charset w:val="86"/>
    <w:family w:val="auto"/>
    <w:pitch w:val="default"/>
    <w:sig w:usb0="00000001" w:usb1="08000000" w:usb2="00000000" w:usb3="00000000" w:csb0="00040000" w:csb1="00000000"/>
  </w:font>
  <w:font w:name="Cambria">
    <w:altName w:val="Noto Sans Syriac Eastern"/>
    <w:panose1 w:val="02040503050406030204"/>
    <w:charset w:val="00"/>
    <w:family w:val="roman"/>
    <w:pitch w:val="default"/>
    <w:sig w:usb0="00000000" w:usb1="00000000" w:usb2="00000000" w:usb3="00000000" w:csb0="0000019F" w:csb1="00000000"/>
  </w:font>
  <w:font w:name="Noto Sans Syriac Eastern">
    <w:panose1 w:val="02040503050306020203"/>
    <w:charset w:val="86"/>
    <w:family w:val="auto"/>
    <w:pitch w:val="default"/>
    <w:sig w:usb0="00000000" w:usb1="00000000" w:usb2="00000080" w:usb3="00000000" w:csb0="203E0161" w:csb1="D7FF0000"/>
  </w:font>
  <w:font w:name="仿宋_GB2312">
    <w:panose1 w:val="02010609030101010101"/>
    <w:charset w:val="86"/>
    <w:family w:val="modern"/>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revisionView w:markup="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44A3"/>
    <w:rsid w:val="0001123B"/>
    <w:rsid w:val="00012C40"/>
    <w:rsid w:val="00015482"/>
    <w:rsid w:val="000271D4"/>
    <w:rsid w:val="000320C3"/>
    <w:rsid w:val="00035B73"/>
    <w:rsid w:val="00036579"/>
    <w:rsid w:val="00037E6F"/>
    <w:rsid w:val="00042644"/>
    <w:rsid w:val="00070420"/>
    <w:rsid w:val="000A32DD"/>
    <w:rsid w:val="000B111E"/>
    <w:rsid w:val="000B3771"/>
    <w:rsid w:val="000B677A"/>
    <w:rsid w:val="000C1A47"/>
    <w:rsid w:val="000D3B18"/>
    <w:rsid w:val="000D4BA1"/>
    <w:rsid w:val="0010329D"/>
    <w:rsid w:val="00104870"/>
    <w:rsid w:val="0011291B"/>
    <w:rsid w:val="00112E5B"/>
    <w:rsid w:val="00125269"/>
    <w:rsid w:val="00125838"/>
    <w:rsid w:val="0013042B"/>
    <w:rsid w:val="00130EF7"/>
    <w:rsid w:val="00136743"/>
    <w:rsid w:val="00141CD7"/>
    <w:rsid w:val="001544A3"/>
    <w:rsid w:val="00172640"/>
    <w:rsid w:val="00174BBF"/>
    <w:rsid w:val="00193D00"/>
    <w:rsid w:val="001A3952"/>
    <w:rsid w:val="001B05B1"/>
    <w:rsid w:val="001C47DB"/>
    <w:rsid w:val="001C48A9"/>
    <w:rsid w:val="001D1185"/>
    <w:rsid w:val="001D3694"/>
    <w:rsid w:val="001D3E86"/>
    <w:rsid w:val="001D6717"/>
    <w:rsid w:val="001E5591"/>
    <w:rsid w:val="001E6D4F"/>
    <w:rsid w:val="001E717F"/>
    <w:rsid w:val="001F1C07"/>
    <w:rsid w:val="001F670C"/>
    <w:rsid w:val="002030F3"/>
    <w:rsid w:val="00207B35"/>
    <w:rsid w:val="00213E3B"/>
    <w:rsid w:val="00226938"/>
    <w:rsid w:val="0023123B"/>
    <w:rsid w:val="00232D71"/>
    <w:rsid w:val="00233429"/>
    <w:rsid w:val="0023433D"/>
    <w:rsid w:val="0024777E"/>
    <w:rsid w:val="00252A88"/>
    <w:rsid w:val="00260661"/>
    <w:rsid w:val="002606E9"/>
    <w:rsid w:val="00267C9B"/>
    <w:rsid w:val="00275335"/>
    <w:rsid w:val="00275687"/>
    <w:rsid w:val="00280642"/>
    <w:rsid w:val="002825A9"/>
    <w:rsid w:val="0028522D"/>
    <w:rsid w:val="00287109"/>
    <w:rsid w:val="002A3FC9"/>
    <w:rsid w:val="002A561D"/>
    <w:rsid w:val="002A7290"/>
    <w:rsid w:val="002B2560"/>
    <w:rsid w:val="002B37F8"/>
    <w:rsid w:val="002C3FE4"/>
    <w:rsid w:val="002C4B2B"/>
    <w:rsid w:val="002C7BC1"/>
    <w:rsid w:val="002E73FD"/>
    <w:rsid w:val="00300277"/>
    <w:rsid w:val="00303EB9"/>
    <w:rsid w:val="0031179A"/>
    <w:rsid w:val="0032640F"/>
    <w:rsid w:val="00330682"/>
    <w:rsid w:val="003357CB"/>
    <w:rsid w:val="00340307"/>
    <w:rsid w:val="003435AF"/>
    <w:rsid w:val="00347A9F"/>
    <w:rsid w:val="00354AE9"/>
    <w:rsid w:val="00356FA3"/>
    <w:rsid w:val="003737C1"/>
    <w:rsid w:val="0037508E"/>
    <w:rsid w:val="00381491"/>
    <w:rsid w:val="003A45C5"/>
    <w:rsid w:val="003B2289"/>
    <w:rsid w:val="003B266B"/>
    <w:rsid w:val="003B78B1"/>
    <w:rsid w:val="003C3FC8"/>
    <w:rsid w:val="003C6010"/>
    <w:rsid w:val="003D320C"/>
    <w:rsid w:val="003E4312"/>
    <w:rsid w:val="003E7B40"/>
    <w:rsid w:val="003F2993"/>
    <w:rsid w:val="003F7B31"/>
    <w:rsid w:val="00403503"/>
    <w:rsid w:val="004036E7"/>
    <w:rsid w:val="00412D45"/>
    <w:rsid w:val="00412DBD"/>
    <w:rsid w:val="00414175"/>
    <w:rsid w:val="00447E96"/>
    <w:rsid w:val="0045320A"/>
    <w:rsid w:val="00461D91"/>
    <w:rsid w:val="00463AD7"/>
    <w:rsid w:val="004717A7"/>
    <w:rsid w:val="0047382B"/>
    <w:rsid w:val="0048702E"/>
    <w:rsid w:val="00494B63"/>
    <w:rsid w:val="00495D47"/>
    <w:rsid w:val="00497F97"/>
    <w:rsid w:val="004A20CD"/>
    <w:rsid w:val="004A3C88"/>
    <w:rsid w:val="004B0360"/>
    <w:rsid w:val="004B1F86"/>
    <w:rsid w:val="004D131B"/>
    <w:rsid w:val="004D1FF0"/>
    <w:rsid w:val="004D4EC5"/>
    <w:rsid w:val="004E4C7F"/>
    <w:rsid w:val="004E630F"/>
    <w:rsid w:val="004E73AB"/>
    <w:rsid w:val="0050564A"/>
    <w:rsid w:val="0051114B"/>
    <w:rsid w:val="00520AD8"/>
    <w:rsid w:val="00537334"/>
    <w:rsid w:val="005452A5"/>
    <w:rsid w:val="005512F4"/>
    <w:rsid w:val="005518DB"/>
    <w:rsid w:val="005649FF"/>
    <w:rsid w:val="00574526"/>
    <w:rsid w:val="00576153"/>
    <w:rsid w:val="00587A05"/>
    <w:rsid w:val="00597AF5"/>
    <w:rsid w:val="005A0CBA"/>
    <w:rsid w:val="005C2658"/>
    <w:rsid w:val="005C3090"/>
    <w:rsid w:val="005C657F"/>
    <w:rsid w:val="005F031A"/>
    <w:rsid w:val="00603076"/>
    <w:rsid w:val="006154DB"/>
    <w:rsid w:val="00623430"/>
    <w:rsid w:val="00625409"/>
    <w:rsid w:val="006347A2"/>
    <w:rsid w:val="006359DA"/>
    <w:rsid w:val="00636E1B"/>
    <w:rsid w:val="00640485"/>
    <w:rsid w:val="00641AD2"/>
    <w:rsid w:val="00641FFD"/>
    <w:rsid w:val="0064222E"/>
    <w:rsid w:val="006540D7"/>
    <w:rsid w:val="00654A6B"/>
    <w:rsid w:val="006631C8"/>
    <w:rsid w:val="00671965"/>
    <w:rsid w:val="00671E71"/>
    <w:rsid w:val="00680481"/>
    <w:rsid w:val="006876EF"/>
    <w:rsid w:val="006926B4"/>
    <w:rsid w:val="006960DA"/>
    <w:rsid w:val="006B2D70"/>
    <w:rsid w:val="006B5F47"/>
    <w:rsid w:val="006B72EA"/>
    <w:rsid w:val="006B76BF"/>
    <w:rsid w:val="006D0767"/>
    <w:rsid w:val="006D50C2"/>
    <w:rsid w:val="00700F91"/>
    <w:rsid w:val="00704DDC"/>
    <w:rsid w:val="00722D84"/>
    <w:rsid w:val="00730DEA"/>
    <w:rsid w:val="00733F3E"/>
    <w:rsid w:val="00745732"/>
    <w:rsid w:val="0074653F"/>
    <w:rsid w:val="007547B2"/>
    <w:rsid w:val="00760415"/>
    <w:rsid w:val="007774E7"/>
    <w:rsid w:val="00781D36"/>
    <w:rsid w:val="00786751"/>
    <w:rsid w:val="00794B9B"/>
    <w:rsid w:val="007A1038"/>
    <w:rsid w:val="007A6FA2"/>
    <w:rsid w:val="007A7D21"/>
    <w:rsid w:val="007B07B5"/>
    <w:rsid w:val="007B58D6"/>
    <w:rsid w:val="007C4983"/>
    <w:rsid w:val="007D1450"/>
    <w:rsid w:val="007D70C4"/>
    <w:rsid w:val="007D738D"/>
    <w:rsid w:val="007E7AA2"/>
    <w:rsid w:val="00805A16"/>
    <w:rsid w:val="00805A46"/>
    <w:rsid w:val="0081369B"/>
    <w:rsid w:val="0081721D"/>
    <w:rsid w:val="00825D4F"/>
    <w:rsid w:val="00826DC7"/>
    <w:rsid w:val="008306BA"/>
    <w:rsid w:val="0083206D"/>
    <w:rsid w:val="008363EA"/>
    <w:rsid w:val="00841CBC"/>
    <w:rsid w:val="00846F30"/>
    <w:rsid w:val="008518DE"/>
    <w:rsid w:val="008530B1"/>
    <w:rsid w:val="0085392A"/>
    <w:rsid w:val="008544FC"/>
    <w:rsid w:val="00856136"/>
    <w:rsid w:val="008566A2"/>
    <w:rsid w:val="00871C08"/>
    <w:rsid w:val="00874977"/>
    <w:rsid w:val="00885618"/>
    <w:rsid w:val="0089203F"/>
    <w:rsid w:val="00893FE4"/>
    <w:rsid w:val="008A1BAB"/>
    <w:rsid w:val="008A2065"/>
    <w:rsid w:val="008B08EA"/>
    <w:rsid w:val="008C1EB0"/>
    <w:rsid w:val="008C7C58"/>
    <w:rsid w:val="008D313B"/>
    <w:rsid w:val="008D49F5"/>
    <w:rsid w:val="008E071C"/>
    <w:rsid w:val="008F3045"/>
    <w:rsid w:val="008F4DCF"/>
    <w:rsid w:val="009000B8"/>
    <w:rsid w:val="00901DC6"/>
    <w:rsid w:val="00931870"/>
    <w:rsid w:val="00944E95"/>
    <w:rsid w:val="00947B74"/>
    <w:rsid w:val="009525C9"/>
    <w:rsid w:val="00960C1B"/>
    <w:rsid w:val="00971BD7"/>
    <w:rsid w:val="0097481A"/>
    <w:rsid w:val="009753AB"/>
    <w:rsid w:val="0098570B"/>
    <w:rsid w:val="00992DD3"/>
    <w:rsid w:val="00996CF1"/>
    <w:rsid w:val="009A44B8"/>
    <w:rsid w:val="009A4DB3"/>
    <w:rsid w:val="009B1963"/>
    <w:rsid w:val="009B3398"/>
    <w:rsid w:val="009B4A0F"/>
    <w:rsid w:val="009C088A"/>
    <w:rsid w:val="009C73E8"/>
    <w:rsid w:val="009D0518"/>
    <w:rsid w:val="009D17EA"/>
    <w:rsid w:val="009D1893"/>
    <w:rsid w:val="009E203B"/>
    <w:rsid w:val="009E3E64"/>
    <w:rsid w:val="009F0B98"/>
    <w:rsid w:val="009F7C01"/>
    <w:rsid w:val="00A04DEA"/>
    <w:rsid w:val="00A13E38"/>
    <w:rsid w:val="00A14240"/>
    <w:rsid w:val="00A319E7"/>
    <w:rsid w:val="00A32BB0"/>
    <w:rsid w:val="00A52D03"/>
    <w:rsid w:val="00A61C77"/>
    <w:rsid w:val="00A6674C"/>
    <w:rsid w:val="00A66C46"/>
    <w:rsid w:val="00A72798"/>
    <w:rsid w:val="00A74C92"/>
    <w:rsid w:val="00A77539"/>
    <w:rsid w:val="00A822C1"/>
    <w:rsid w:val="00A94D28"/>
    <w:rsid w:val="00AA7C7A"/>
    <w:rsid w:val="00AB7802"/>
    <w:rsid w:val="00AC4D68"/>
    <w:rsid w:val="00AC5463"/>
    <w:rsid w:val="00AD5DC5"/>
    <w:rsid w:val="00AE002F"/>
    <w:rsid w:val="00AF1500"/>
    <w:rsid w:val="00B14A72"/>
    <w:rsid w:val="00B20836"/>
    <w:rsid w:val="00B301AC"/>
    <w:rsid w:val="00B32043"/>
    <w:rsid w:val="00B33E4E"/>
    <w:rsid w:val="00B5355D"/>
    <w:rsid w:val="00B5623A"/>
    <w:rsid w:val="00B564FB"/>
    <w:rsid w:val="00B63548"/>
    <w:rsid w:val="00B83387"/>
    <w:rsid w:val="00B921D6"/>
    <w:rsid w:val="00B966F5"/>
    <w:rsid w:val="00BA2B86"/>
    <w:rsid w:val="00BA3897"/>
    <w:rsid w:val="00BA48C5"/>
    <w:rsid w:val="00BB12A0"/>
    <w:rsid w:val="00BB195A"/>
    <w:rsid w:val="00BC16A6"/>
    <w:rsid w:val="00BC177A"/>
    <w:rsid w:val="00BC53A6"/>
    <w:rsid w:val="00BD1EB5"/>
    <w:rsid w:val="00BE27C6"/>
    <w:rsid w:val="00BF11E5"/>
    <w:rsid w:val="00BF6C3B"/>
    <w:rsid w:val="00C049C8"/>
    <w:rsid w:val="00C051C5"/>
    <w:rsid w:val="00C07FAF"/>
    <w:rsid w:val="00C1026F"/>
    <w:rsid w:val="00C122F9"/>
    <w:rsid w:val="00C13291"/>
    <w:rsid w:val="00C15B89"/>
    <w:rsid w:val="00C15D8D"/>
    <w:rsid w:val="00C20C44"/>
    <w:rsid w:val="00C229F8"/>
    <w:rsid w:val="00C25085"/>
    <w:rsid w:val="00C31D95"/>
    <w:rsid w:val="00C35F8E"/>
    <w:rsid w:val="00C370C2"/>
    <w:rsid w:val="00C40481"/>
    <w:rsid w:val="00C47F01"/>
    <w:rsid w:val="00C51402"/>
    <w:rsid w:val="00C633ED"/>
    <w:rsid w:val="00C8271D"/>
    <w:rsid w:val="00C85BF2"/>
    <w:rsid w:val="00C92E76"/>
    <w:rsid w:val="00CA2DB0"/>
    <w:rsid w:val="00CA5521"/>
    <w:rsid w:val="00CB389A"/>
    <w:rsid w:val="00CB46A5"/>
    <w:rsid w:val="00CB5A77"/>
    <w:rsid w:val="00CD4195"/>
    <w:rsid w:val="00CD5130"/>
    <w:rsid w:val="00CE7AAF"/>
    <w:rsid w:val="00CF21F2"/>
    <w:rsid w:val="00CF4A0B"/>
    <w:rsid w:val="00CF5C24"/>
    <w:rsid w:val="00D0641A"/>
    <w:rsid w:val="00D126C4"/>
    <w:rsid w:val="00D15367"/>
    <w:rsid w:val="00D16C7E"/>
    <w:rsid w:val="00D2094E"/>
    <w:rsid w:val="00D4558A"/>
    <w:rsid w:val="00D479FB"/>
    <w:rsid w:val="00D566CD"/>
    <w:rsid w:val="00D67883"/>
    <w:rsid w:val="00D80FA7"/>
    <w:rsid w:val="00D95739"/>
    <w:rsid w:val="00D97425"/>
    <w:rsid w:val="00DB7DDC"/>
    <w:rsid w:val="00DD2272"/>
    <w:rsid w:val="00DD25B1"/>
    <w:rsid w:val="00DD5224"/>
    <w:rsid w:val="00DE0F15"/>
    <w:rsid w:val="00DF740C"/>
    <w:rsid w:val="00E04F07"/>
    <w:rsid w:val="00E06263"/>
    <w:rsid w:val="00E1663B"/>
    <w:rsid w:val="00E2006C"/>
    <w:rsid w:val="00E23215"/>
    <w:rsid w:val="00E40388"/>
    <w:rsid w:val="00E526D6"/>
    <w:rsid w:val="00E618E4"/>
    <w:rsid w:val="00E63827"/>
    <w:rsid w:val="00E647CE"/>
    <w:rsid w:val="00E72F74"/>
    <w:rsid w:val="00E733F5"/>
    <w:rsid w:val="00E804F9"/>
    <w:rsid w:val="00E87DCC"/>
    <w:rsid w:val="00E906C9"/>
    <w:rsid w:val="00EA2262"/>
    <w:rsid w:val="00EB3FF1"/>
    <w:rsid w:val="00EB49DA"/>
    <w:rsid w:val="00EB644C"/>
    <w:rsid w:val="00EC6BC4"/>
    <w:rsid w:val="00EC7AE8"/>
    <w:rsid w:val="00ED02E8"/>
    <w:rsid w:val="00EE3DFE"/>
    <w:rsid w:val="00EE4760"/>
    <w:rsid w:val="00EF1BE5"/>
    <w:rsid w:val="00EF7191"/>
    <w:rsid w:val="00F0083B"/>
    <w:rsid w:val="00F119F3"/>
    <w:rsid w:val="00F22EC8"/>
    <w:rsid w:val="00F260E8"/>
    <w:rsid w:val="00F26B4A"/>
    <w:rsid w:val="00F31D1F"/>
    <w:rsid w:val="00F36A46"/>
    <w:rsid w:val="00F37A92"/>
    <w:rsid w:val="00F40471"/>
    <w:rsid w:val="00F57FBC"/>
    <w:rsid w:val="00F87A9B"/>
    <w:rsid w:val="00F93E96"/>
    <w:rsid w:val="00F96F67"/>
    <w:rsid w:val="00FB17B9"/>
    <w:rsid w:val="00FB1EE4"/>
    <w:rsid w:val="00FB1F46"/>
    <w:rsid w:val="00FB5BE1"/>
    <w:rsid w:val="00FD0AEF"/>
    <w:rsid w:val="00FD116A"/>
    <w:rsid w:val="00FD5A5B"/>
    <w:rsid w:val="00FF60CF"/>
    <w:rsid w:val="2FFF6BA3"/>
    <w:rsid w:val="3BCF6300"/>
    <w:rsid w:val="3BF9DC0B"/>
    <w:rsid w:val="7FEF35D0"/>
    <w:rsid w:val="F1FF7F08"/>
    <w:rsid w:val="FFDB36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16"/>
    <w:qFormat/>
    <w:uiPriority w:val="9"/>
    <w:pPr>
      <w:keepNext/>
      <w:keepLines/>
      <w:spacing w:line="360" w:lineRule="auto"/>
      <w:outlineLvl w:val="0"/>
    </w:pPr>
    <w:rPr>
      <w:rFonts w:ascii="微软雅黑" w:hAnsi="微软雅黑" w:eastAsia="微软雅黑"/>
      <w:b/>
      <w:bCs/>
      <w:kern w:val="44"/>
      <w:sz w:val="28"/>
      <w:szCs w:val="44"/>
    </w:rPr>
  </w:style>
  <w:style w:type="paragraph" w:styleId="3">
    <w:name w:val="heading 2"/>
    <w:basedOn w:val="1"/>
    <w:next w:val="1"/>
    <w:link w:val="17"/>
    <w:qFormat/>
    <w:uiPriority w:val="9"/>
    <w:pPr>
      <w:keepNext/>
      <w:keepLines/>
      <w:spacing w:afterLines="50" w:line="360" w:lineRule="auto"/>
      <w:outlineLvl w:val="1"/>
    </w:pPr>
    <w:rPr>
      <w:rFonts w:ascii="Cambria" w:hAnsi="Cambria"/>
      <w:b/>
      <w:bCs/>
      <w:kern w:val="0"/>
      <w:sz w:val="24"/>
      <w:szCs w:val="32"/>
    </w:rPr>
  </w:style>
  <w:style w:type="paragraph" w:styleId="4">
    <w:name w:val="heading 3"/>
    <w:basedOn w:val="1"/>
    <w:next w:val="1"/>
    <w:link w:val="18"/>
    <w:qFormat/>
    <w:uiPriority w:val="0"/>
    <w:pPr>
      <w:keepNext/>
      <w:keepLines/>
      <w:spacing w:before="260" w:after="260" w:line="416" w:lineRule="auto"/>
      <w:outlineLvl w:val="2"/>
    </w:pPr>
    <w:rPr>
      <w:b/>
      <w:bCs/>
      <w:kern w:val="0"/>
      <w:sz w:val="32"/>
      <w:szCs w:val="32"/>
    </w:rPr>
  </w:style>
  <w:style w:type="character" w:default="1" w:styleId="15">
    <w:name w:val="Default Paragraph Font"/>
    <w:unhideWhenUsed/>
    <w:qFormat/>
    <w:uiPriority w:val="1"/>
  </w:style>
  <w:style w:type="table" w:default="1" w:styleId="14">
    <w:name w:val="Normal Table"/>
    <w:unhideWhenUsed/>
    <w:qFormat/>
    <w:uiPriority w:val="99"/>
    <w:tblPr>
      <w:tblCellMar>
        <w:top w:w="0" w:type="dxa"/>
        <w:left w:w="108" w:type="dxa"/>
        <w:bottom w:w="0" w:type="dxa"/>
        <w:right w:w="108" w:type="dxa"/>
      </w:tblCellMar>
    </w:tblPr>
  </w:style>
  <w:style w:type="paragraph" w:styleId="5">
    <w:name w:val="Document Map"/>
    <w:basedOn w:val="1"/>
    <w:link w:val="19"/>
    <w:unhideWhenUsed/>
    <w:qFormat/>
    <w:uiPriority w:val="99"/>
    <w:rPr>
      <w:rFonts w:ascii="宋体"/>
      <w:kern w:val="0"/>
      <w:sz w:val="18"/>
      <w:szCs w:val="18"/>
    </w:rPr>
  </w:style>
  <w:style w:type="paragraph" w:styleId="6">
    <w:name w:val="annotation text"/>
    <w:basedOn w:val="1"/>
    <w:link w:val="20"/>
    <w:unhideWhenUsed/>
    <w:qFormat/>
    <w:uiPriority w:val="99"/>
    <w:pPr>
      <w:spacing w:after="160" w:line="259" w:lineRule="auto"/>
      <w:jc w:val="left"/>
    </w:pPr>
    <w:rPr>
      <w:rFonts w:ascii="Times New Roman" w:hAnsi="Times New Roman" w:eastAsia="微软雅黑"/>
      <w:szCs w:val="21"/>
    </w:rPr>
  </w:style>
  <w:style w:type="paragraph" w:styleId="7">
    <w:name w:val="Date"/>
    <w:basedOn w:val="1"/>
    <w:next w:val="1"/>
    <w:link w:val="35"/>
    <w:unhideWhenUsed/>
    <w:qFormat/>
    <w:uiPriority w:val="99"/>
    <w:pPr>
      <w:spacing w:after="160" w:line="259" w:lineRule="auto"/>
      <w:ind w:left="100" w:leftChars="2500"/>
    </w:pPr>
    <w:rPr>
      <w:rFonts w:ascii="Times New Roman" w:hAnsi="Times New Roman" w:eastAsia="微软雅黑"/>
      <w:szCs w:val="21"/>
    </w:rPr>
  </w:style>
  <w:style w:type="paragraph" w:styleId="8">
    <w:name w:val="Body Text Indent 2"/>
    <w:basedOn w:val="1"/>
    <w:link w:val="21"/>
    <w:qFormat/>
    <w:uiPriority w:val="99"/>
    <w:pPr>
      <w:spacing w:line="400" w:lineRule="exact"/>
      <w:ind w:firstLine="556"/>
    </w:pPr>
    <w:rPr>
      <w:rFonts w:ascii="Times New Roman" w:hAnsi="Times New Roman" w:eastAsia="仿宋_GB2312"/>
      <w:kern w:val="0"/>
      <w:sz w:val="28"/>
      <w:szCs w:val="28"/>
    </w:rPr>
  </w:style>
  <w:style w:type="paragraph" w:styleId="9">
    <w:name w:val="Balloon Text"/>
    <w:basedOn w:val="1"/>
    <w:link w:val="22"/>
    <w:unhideWhenUsed/>
    <w:qFormat/>
    <w:uiPriority w:val="99"/>
    <w:rPr>
      <w:kern w:val="0"/>
      <w:sz w:val="18"/>
      <w:szCs w:val="18"/>
    </w:rPr>
  </w:style>
  <w:style w:type="paragraph" w:styleId="10">
    <w:name w:val="footer"/>
    <w:basedOn w:val="1"/>
    <w:link w:val="23"/>
    <w:unhideWhenUsed/>
    <w:qFormat/>
    <w:uiPriority w:val="99"/>
    <w:pPr>
      <w:tabs>
        <w:tab w:val="center" w:pos="4153"/>
        <w:tab w:val="right" w:pos="8306"/>
      </w:tabs>
      <w:snapToGrid w:val="0"/>
      <w:jc w:val="left"/>
    </w:pPr>
    <w:rPr>
      <w:kern w:val="0"/>
      <w:sz w:val="18"/>
      <w:szCs w:val="18"/>
    </w:rPr>
  </w:style>
  <w:style w:type="paragraph" w:styleId="11">
    <w:name w:val="header"/>
    <w:basedOn w:val="1"/>
    <w:link w:val="24"/>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12">
    <w:name w:val="Normal (Web)"/>
    <w:basedOn w:val="1"/>
    <w:qFormat/>
    <w:uiPriority w:val="99"/>
    <w:pPr>
      <w:widowControl/>
      <w:spacing w:before="100" w:beforeAutospacing="1" w:after="100" w:afterAutospacing="1"/>
      <w:jc w:val="left"/>
    </w:pPr>
    <w:rPr>
      <w:rFonts w:ascii="宋体" w:hAnsi="宋体" w:eastAsia="微软雅黑" w:cs="宋体"/>
      <w:kern w:val="0"/>
      <w:sz w:val="24"/>
      <w:szCs w:val="24"/>
    </w:rPr>
  </w:style>
  <w:style w:type="paragraph" w:styleId="13">
    <w:name w:val="Title"/>
    <w:basedOn w:val="1"/>
    <w:next w:val="1"/>
    <w:link w:val="25"/>
    <w:qFormat/>
    <w:uiPriority w:val="10"/>
    <w:pPr>
      <w:spacing w:afterLines="100"/>
      <w:jc w:val="center"/>
      <w:outlineLvl w:val="0"/>
    </w:pPr>
    <w:rPr>
      <w:rFonts w:ascii="宋体" w:hAnsi="宋体"/>
      <w:b/>
      <w:bCs/>
      <w:kern w:val="0"/>
      <w:sz w:val="36"/>
      <w:szCs w:val="36"/>
    </w:rPr>
  </w:style>
  <w:style w:type="character" w:customStyle="1" w:styleId="16">
    <w:name w:val="标题 1 字符"/>
    <w:link w:val="2"/>
    <w:qFormat/>
    <w:uiPriority w:val="9"/>
    <w:rPr>
      <w:rFonts w:ascii="微软雅黑" w:hAnsi="微软雅黑" w:eastAsia="微软雅黑"/>
      <w:b/>
      <w:bCs/>
      <w:kern w:val="44"/>
      <w:sz w:val="28"/>
      <w:szCs w:val="44"/>
    </w:rPr>
  </w:style>
  <w:style w:type="character" w:customStyle="1" w:styleId="17">
    <w:name w:val="标题 2 字符"/>
    <w:link w:val="3"/>
    <w:qFormat/>
    <w:uiPriority w:val="9"/>
    <w:rPr>
      <w:rFonts w:ascii="Cambria" w:hAnsi="Cambria" w:eastAsia="宋体" w:cs="Times New Roman"/>
      <w:b/>
      <w:bCs/>
      <w:sz w:val="24"/>
      <w:szCs w:val="32"/>
    </w:rPr>
  </w:style>
  <w:style w:type="character" w:customStyle="1" w:styleId="18">
    <w:name w:val="标题 3 字符"/>
    <w:link w:val="4"/>
    <w:qFormat/>
    <w:uiPriority w:val="0"/>
    <w:rPr>
      <w:b/>
      <w:bCs/>
      <w:sz w:val="32"/>
      <w:szCs w:val="32"/>
    </w:rPr>
  </w:style>
  <w:style w:type="character" w:customStyle="1" w:styleId="19">
    <w:name w:val="文档结构图 字符"/>
    <w:link w:val="5"/>
    <w:semiHidden/>
    <w:qFormat/>
    <w:uiPriority w:val="99"/>
    <w:rPr>
      <w:rFonts w:ascii="宋体" w:eastAsia="宋体"/>
      <w:sz w:val="18"/>
      <w:szCs w:val="18"/>
    </w:rPr>
  </w:style>
  <w:style w:type="character" w:customStyle="1" w:styleId="20">
    <w:name w:val="批注文字 字符"/>
    <w:link w:val="6"/>
    <w:qFormat/>
    <w:uiPriority w:val="99"/>
    <w:rPr>
      <w:rFonts w:ascii="Times New Roman" w:hAnsi="Times New Roman" w:eastAsia="微软雅黑"/>
      <w:kern w:val="2"/>
      <w:sz w:val="21"/>
      <w:szCs w:val="21"/>
    </w:rPr>
  </w:style>
  <w:style w:type="character" w:customStyle="1" w:styleId="21">
    <w:name w:val="正文文本缩进 2 字符"/>
    <w:link w:val="8"/>
    <w:qFormat/>
    <w:uiPriority w:val="99"/>
    <w:rPr>
      <w:rFonts w:ascii="Times New Roman" w:hAnsi="Times New Roman" w:eastAsia="仿宋_GB2312" w:cs="Times New Roman"/>
      <w:sz w:val="28"/>
      <w:szCs w:val="28"/>
    </w:rPr>
  </w:style>
  <w:style w:type="character" w:customStyle="1" w:styleId="22">
    <w:name w:val="批注框文本 字符"/>
    <w:link w:val="9"/>
    <w:semiHidden/>
    <w:qFormat/>
    <w:uiPriority w:val="99"/>
    <w:rPr>
      <w:sz w:val="18"/>
      <w:szCs w:val="18"/>
    </w:rPr>
  </w:style>
  <w:style w:type="character" w:customStyle="1" w:styleId="23">
    <w:name w:val="页脚 字符"/>
    <w:link w:val="10"/>
    <w:qFormat/>
    <w:uiPriority w:val="99"/>
    <w:rPr>
      <w:sz w:val="18"/>
      <w:szCs w:val="18"/>
    </w:rPr>
  </w:style>
  <w:style w:type="character" w:customStyle="1" w:styleId="24">
    <w:name w:val="页眉 字符"/>
    <w:link w:val="11"/>
    <w:qFormat/>
    <w:uiPriority w:val="99"/>
    <w:rPr>
      <w:sz w:val="18"/>
      <w:szCs w:val="18"/>
    </w:rPr>
  </w:style>
  <w:style w:type="character" w:customStyle="1" w:styleId="25">
    <w:name w:val="标题 字符"/>
    <w:link w:val="13"/>
    <w:qFormat/>
    <w:uiPriority w:val="10"/>
    <w:rPr>
      <w:rFonts w:ascii="宋体" w:hAnsi="宋体" w:eastAsia="宋体" w:cs="Times New Roman"/>
      <w:b/>
      <w:bCs/>
      <w:sz w:val="36"/>
      <w:szCs w:val="36"/>
    </w:rPr>
  </w:style>
  <w:style w:type="table" w:customStyle="1" w:styleId="26">
    <w:name w:val="浅色网格 - 着色 3"/>
    <w:basedOn w:val="14"/>
    <w:qFormat/>
    <w:uiPriority w:val="62"/>
    <w:tblPr>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CellMar>
        <w:top w:w="0" w:type="dxa"/>
        <w:left w:w="108" w:type="dxa"/>
        <w:bottom w:w="0" w:type="dxa"/>
        <w:right w:w="108" w:type="dxa"/>
      </w:tblCellMar>
    </w:tblPr>
    <w:tblStylePr w:type="firstRow">
      <w:pPr>
        <w:spacing w:before="0" w:after="0" w:line="240" w:lineRule="auto"/>
      </w:pPr>
      <w:rPr>
        <w:rFonts w:cs="Courier New"/>
        <w:b/>
        <w:bCs/>
      </w:rPr>
      <w:tcPr>
        <w:tcBorders>
          <w:top w:val="single" w:color="9BBB59" w:sz="8" w:space="0"/>
          <w:left w:val="single" w:color="9BBB59" w:sz="8" w:space="0"/>
          <w:bottom w:val="single" w:color="9BBB59" w:sz="18" w:space="0"/>
          <w:right w:val="single" w:color="9BBB59" w:sz="8" w:space="0"/>
          <w:insideH w:val="nil"/>
          <w:insideV w:val="single" w:sz="8" w:space="0"/>
          <w:tl2br w:val="nil"/>
          <w:tr2bl w:val="nil"/>
        </w:tcBorders>
      </w:tcPr>
    </w:tblStylePr>
    <w:tblStylePr w:type="lastRow">
      <w:pPr>
        <w:spacing w:before="0" w:after="0" w:line="240" w:lineRule="auto"/>
      </w:pPr>
      <w:rPr>
        <w:rFonts w:cs="Courier New"/>
        <w:b/>
        <w:bCs/>
      </w:rPr>
      <w:tcPr>
        <w:tcBorders>
          <w:top w:val="double" w:color="9BBB59" w:sz="6" w:space="0"/>
          <w:left w:val="single" w:color="9BBB59" w:sz="8" w:space="0"/>
          <w:bottom w:val="single" w:color="9BBB59" w:sz="8" w:space="0"/>
          <w:right w:val="single" w:color="9BBB59" w:sz="8" w:space="0"/>
          <w:insideH w:val="nil"/>
          <w:insideV w:val="single" w:sz="8" w:space="0"/>
          <w:tl2br w:val="nil"/>
          <w:tr2bl w:val="nil"/>
        </w:tcBorders>
      </w:tcPr>
    </w:tblStylePr>
    <w:tblStylePr w:type="firstCol">
      <w:rPr>
        <w:rFonts w:cs="Courier New"/>
        <w:b/>
        <w:bCs/>
      </w:rPr>
    </w:tblStylePr>
    <w:tblStylePr w:type="lastCol">
      <w:rPr>
        <w:rFonts w:cs="Courier New"/>
        <w:b/>
        <w:bCs/>
      </w:rPr>
      <w:tcPr>
        <w:tcBorders>
          <w:top w:val="single" w:color="9BBB59" w:sz="8" w:space="0"/>
          <w:left w:val="single" w:color="9BBB59" w:sz="8" w:space="0"/>
          <w:bottom w:val="single" w:color="9BBB59" w:sz="8" w:space="0"/>
          <w:right w:val="single" w:color="9BBB59" w:sz="8" w:space="0"/>
          <w:insideH w:val="nil"/>
          <w:insideV w:val="nil"/>
          <w:tl2br w:val="nil"/>
          <w:tr2bl w:val="nil"/>
        </w:tcBorders>
      </w:tcPr>
    </w:tblStylePr>
    <w:tblStylePr w:type="band1Vert">
      <w:tcPr>
        <w:tcBorders>
          <w:top w:val="single" w:color="9BBB59" w:sz="8" w:space="0"/>
          <w:left w:val="single" w:color="9BBB59" w:sz="8" w:space="0"/>
          <w:bottom w:val="single" w:color="9BBB59" w:sz="8" w:space="0"/>
          <w:right w:val="single" w:color="9BBB59" w:sz="8" w:space="0"/>
          <w:insideH w:val="nil"/>
          <w:insideV w:val="nil"/>
          <w:tl2br w:val="nil"/>
          <w:tr2bl w:val="nil"/>
        </w:tcBorders>
        <w:shd w:val="clear" w:color="auto" w:fill="E6EED5"/>
      </w:tcPr>
    </w:tblStylePr>
    <w:tblStylePr w:type="band1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shd w:val="clear" w:color="auto" w:fill="E6EED5"/>
      </w:tcPr>
    </w:tblStylePr>
    <w:tblStylePr w:type="band2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tcPr>
    </w:tblStylePr>
  </w:style>
  <w:style w:type="table" w:customStyle="1" w:styleId="27">
    <w:name w:val="浅色网格 - 着色 5"/>
    <w:basedOn w:val="14"/>
    <w:qFormat/>
    <w:uiPriority w:val="62"/>
    <w:tblPr>
      <w:tblBorders>
        <w:top w:val="single" w:color="4BACC6" w:sz="8" w:space="0"/>
        <w:left w:val="single" w:color="4BACC6" w:sz="8" w:space="0"/>
        <w:bottom w:val="single" w:color="4BACC6" w:sz="8" w:space="0"/>
        <w:right w:val="single" w:color="4BACC6" w:sz="8" w:space="0"/>
        <w:insideH w:val="single" w:color="4BACC6" w:sz="8" w:space="0"/>
        <w:insideV w:val="single" w:color="4BACC6" w:sz="8" w:space="0"/>
      </w:tblBorders>
      <w:tblCellMar>
        <w:top w:w="0" w:type="dxa"/>
        <w:left w:w="108" w:type="dxa"/>
        <w:bottom w:w="0" w:type="dxa"/>
        <w:right w:w="108" w:type="dxa"/>
      </w:tblCellMar>
    </w:tblPr>
    <w:tblStylePr w:type="firstRow">
      <w:pPr>
        <w:spacing w:before="0" w:after="0" w:line="240" w:lineRule="auto"/>
      </w:pPr>
      <w:rPr>
        <w:rFonts w:cs="Courier New"/>
        <w:b/>
        <w:bCs/>
      </w:rPr>
      <w:tcPr>
        <w:tcBorders>
          <w:top w:val="single" w:color="4BACC6" w:sz="8" w:space="0"/>
          <w:left w:val="single" w:color="4BACC6" w:sz="8" w:space="0"/>
          <w:bottom w:val="single" w:color="4BACC6" w:sz="18" w:space="0"/>
          <w:right w:val="single" w:color="4BACC6" w:sz="8" w:space="0"/>
          <w:insideH w:val="nil"/>
          <w:insideV w:val="single" w:sz="8" w:space="0"/>
          <w:tl2br w:val="nil"/>
          <w:tr2bl w:val="nil"/>
        </w:tcBorders>
      </w:tcPr>
    </w:tblStylePr>
    <w:tblStylePr w:type="lastRow">
      <w:pPr>
        <w:spacing w:before="0" w:after="0" w:line="240" w:lineRule="auto"/>
      </w:pPr>
      <w:rPr>
        <w:rFonts w:cs="Courier New"/>
        <w:b/>
        <w:bCs/>
      </w:rPr>
      <w:tcPr>
        <w:tcBorders>
          <w:top w:val="double" w:color="4BACC6" w:sz="6" w:space="0"/>
          <w:left w:val="single" w:color="4BACC6" w:sz="8" w:space="0"/>
          <w:bottom w:val="single" w:color="4BACC6" w:sz="8" w:space="0"/>
          <w:right w:val="single" w:color="4BACC6" w:sz="8" w:space="0"/>
          <w:insideH w:val="nil"/>
          <w:insideV w:val="single" w:sz="8" w:space="0"/>
          <w:tl2br w:val="nil"/>
          <w:tr2bl w:val="nil"/>
        </w:tcBorders>
      </w:tcPr>
    </w:tblStylePr>
    <w:tblStylePr w:type="firstCol">
      <w:rPr>
        <w:rFonts w:cs="Courier New"/>
        <w:b/>
        <w:bCs/>
      </w:rPr>
    </w:tblStylePr>
    <w:tblStylePr w:type="lastCol">
      <w:rPr>
        <w:rFonts w:cs="Courier New"/>
        <w:b/>
        <w:bCs/>
      </w:rPr>
      <w:tcPr>
        <w:tcBorders>
          <w:top w:val="single" w:color="4BACC6" w:sz="8" w:space="0"/>
          <w:left w:val="single" w:color="4BACC6" w:sz="8" w:space="0"/>
          <w:bottom w:val="single" w:color="4BACC6" w:sz="8" w:space="0"/>
          <w:right w:val="single" w:color="4BACC6" w:sz="8" w:space="0"/>
          <w:insideH w:val="nil"/>
          <w:insideV w:val="nil"/>
          <w:tl2br w:val="nil"/>
          <w:tr2bl w:val="nil"/>
        </w:tcBorders>
      </w:tcPr>
    </w:tblStylePr>
    <w:tblStylePr w:type="band1Vert">
      <w:tcPr>
        <w:tcBorders>
          <w:top w:val="single" w:color="4BACC6" w:sz="8" w:space="0"/>
          <w:left w:val="single" w:color="4BACC6" w:sz="8" w:space="0"/>
          <w:bottom w:val="single" w:color="4BACC6" w:sz="8" w:space="0"/>
          <w:right w:val="single" w:color="4BACC6" w:sz="8" w:space="0"/>
          <w:insideH w:val="nil"/>
          <w:insideV w:val="nil"/>
          <w:tl2br w:val="nil"/>
          <w:tr2bl w:val="nil"/>
        </w:tcBorders>
        <w:shd w:val="clear" w:color="auto" w:fill="D2EAF1"/>
      </w:tcPr>
    </w:tblStylePr>
    <w:tblStylePr w:type="band1Horz">
      <w:tcPr>
        <w:tcBorders>
          <w:top w:val="single" w:color="4BACC6" w:sz="8" w:space="0"/>
          <w:left w:val="single" w:color="4BACC6" w:sz="8" w:space="0"/>
          <w:bottom w:val="single" w:color="4BACC6" w:sz="8" w:space="0"/>
          <w:right w:val="single" w:color="4BACC6" w:sz="8" w:space="0"/>
          <w:insideH w:val="nil"/>
          <w:insideV w:val="single" w:sz="8" w:space="0"/>
          <w:tl2br w:val="nil"/>
          <w:tr2bl w:val="nil"/>
        </w:tcBorders>
        <w:shd w:val="clear" w:color="auto" w:fill="D2EAF1"/>
      </w:tcPr>
    </w:tblStylePr>
    <w:tblStylePr w:type="band2Horz">
      <w:tcPr>
        <w:tcBorders>
          <w:top w:val="single" w:color="4BACC6" w:sz="8" w:space="0"/>
          <w:left w:val="single" w:color="4BACC6" w:sz="8" w:space="0"/>
          <w:bottom w:val="single" w:color="4BACC6" w:sz="8" w:space="0"/>
          <w:right w:val="single" w:color="4BACC6" w:sz="8" w:space="0"/>
          <w:insideH w:val="nil"/>
          <w:insideV w:val="single" w:sz="8" w:space="0"/>
          <w:tl2br w:val="nil"/>
          <w:tr2bl w:val="nil"/>
        </w:tcBorders>
      </w:tcPr>
    </w:tblStylePr>
  </w:style>
  <w:style w:type="table" w:customStyle="1" w:styleId="28">
    <w:name w:val="浅色网格 - 着色 6"/>
    <w:basedOn w:val="14"/>
    <w:qFormat/>
    <w:uiPriority w:val="62"/>
    <w:tblPr>
      <w:tblBorders>
        <w:top w:val="single" w:color="F79646" w:sz="8" w:space="0"/>
        <w:left w:val="single" w:color="F79646" w:sz="8" w:space="0"/>
        <w:bottom w:val="single" w:color="F79646" w:sz="8" w:space="0"/>
        <w:right w:val="single" w:color="F79646" w:sz="8" w:space="0"/>
        <w:insideH w:val="single" w:color="F79646" w:sz="8" w:space="0"/>
        <w:insideV w:val="single" w:color="F79646" w:sz="8" w:space="0"/>
      </w:tblBorders>
      <w:tblCellMar>
        <w:top w:w="0" w:type="dxa"/>
        <w:left w:w="108" w:type="dxa"/>
        <w:bottom w:w="0" w:type="dxa"/>
        <w:right w:w="108" w:type="dxa"/>
      </w:tblCellMar>
    </w:tblPr>
    <w:tblStylePr w:type="firstRow">
      <w:pPr>
        <w:spacing w:before="0" w:after="0" w:line="240" w:lineRule="auto"/>
      </w:pPr>
      <w:rPr>
        <w:rFonts w:cs="Courier New"/>
        <w:b/>
        <w:bCs/>
      </w:rPr>
      <w:tcPr>
        <w:tcBorders>
          <w:top w:val="single" w:color="F79646" w:sz="8" w:space="0"/>
          <w:left w:val="single" w:color="F79646" w:sz="8" w:space="0"/>
          <w:bottom w:val="single" w:color="F79646" w:sz="18" w:space="0"/>
          <w:right w:val="single" w:color="F79646" w:sz="8" w:space="0"/>
          <w:insideH w:val="nil"/>
          <w:insideV w:val="single" w:sz="8" w:space="0"/>
          <w:tl2br w:val="nil"/>
          <w:tr2bl w:val="nil"/>
        </w:tcBorders>
      </w:tcPr>
    </w:tblStylePr>
    <w:tblStylePr w:type="lastRow">
      <w:pPr>
        <w:spacing w:before="0" w:after="0" w:line="240" w:lineRule="auto"/>
      </w:pPr>
      <w:rPr>
        <w:rFonts w:cs="Courier New"/>
        <w:b/>
        <w:bCs/>
      </w:rPr>
      <w:tcPr>
        <w:tcBorders>
          <w:top w:val="double" w:color="F79646" w:sz="6" w:space="0"/>
          <w:left w:val="single" w:color="F79646" w:sz="8" w:space="0"/>
          <w:bottom w:val="single" w:color="F79646" w:sz="8" w:space="0"/>
          <w:right w:val="single" w:color="F79646" w:sz="8" w:space="0"/>
          <w:insideH w:val="nil"/>
          <w:insideV w:val="single" w:sz="8" w:space="0"/>
          <w:tl2br w:val="nil"/>
          <w:tr2bl w:val="nil"/>
        </w:tcBorders>
      </w:tcPr>
    </w:tblStylePr>
    <w:tblStylePr w:type="firstCol">
      <w:rPr>
        <w:rFonts w:cs="Courier New"/>
        <w:b/>
        <w:bCs/>
      </w:rPr>
    </w:tblStylePr>
    <w:tblStylePr w:type="lastCol">
      <w:rPr>
        <w:rFonts w:cs="Courier New"/>
        <w:b/>
        <w:bCs/>
      </w:rPr>
      <w:tcPr>
        <w:tcBorders>
          <w:top w:val="single" w:color="F79646" w:sz="8" w:space="0"/>
          <w:left w:val="single" w:color="F79646" w:sz="8" w:space="0"/>
          <w:bottom w:val="single" w:color="F79646" w:sz="8" w:space="0"/>
          <w:right w:val="single" w:color="F79646" w:sz="8" w:space="0"/>
          <w:insideH w:val="nil"/>
          <w:insideV w:val="nil"/>
          <w:tl2br w:val="nil"/>
          <w:tr2bl w:val="nil"/>
        </w:tcBorders>
      </w:tcPr>
    </w:tblStylePr>
    <w:tblStylePr w:type="band1Vert">
      <w:tcPr>
        <w:tcBorders>
          <w:top w:val="single" w:color="F79646" w:sz="8" w:space="0"/>
          <w:left w:val="single" w:color="F79646" w:sz="8" w:space="0"/>
          <w:bottom w:val="single" w:color="F79646" w:sz="8" w:space="0"/>
          <w:right w:val="single" w:color="F79646" w:sz="8" w:space="0"/>
          <w:insideH w:val="nil"/>
          <w:insideV w:val="nil"/>
          <w:tl2br w:val="nil"/>
          <w:tr2bl w:val="nil"/>
        </w:tcBorders>
        <w:shd w:val="clear" w:color="auto" w:fill="FDE4D0"/>
      </w:tcPr>
    </w:tblStylePr>
    <w:tblStylePr w:type="band1Horz">
      <w:tcPr>
        <w:tcBorders>
          <w:top w:val="single" w:color="F79646" w:sz="8" w:space="0"/>
          <w:left w:val="single" w:color="F79646" w:sz="8" w:space="0"/>
          <w:bottom w:val="single" w:color="F79646" w:sz="8" w:space="0"/>
          <w:right w:val="single" w:color="F79646" w:sz="8" w:space="0"/>
          <w:insideH w:val="nil"/>
          <w:insideV w:val="single" w:sz="8" w:space="0"/>
          <w:tl2br w:val="nil"/>
          <w:tr2bl w:val="nil"/>
        </w:tcBorders>
        <w:shd w:val="clear" w:color="auto" w:fill="FDE4D0"/>
      </w:tcPr>
    </w:tblStylePr>
    <w:tblStylePr w:type="band2Horz">
      <w:tcPr>
        <w:tcBorders>
          <w:top w:val="single" w:color="F79646" w:sz="8" w:space="0"/>
          <w:left w:val="single" w:color="F79646" w:sz="8" w:space="0"/>
          <w:bottom w:val="single" w:color="F79646" w:sz="8" w:space="0"/>
          <w:right w:val="single" w:color="F79646" w:sz="8" w:space="0"/>
          <w:insideH w:val="nil"/>
          <w:insideV w:val="single" w:sz="8" w:space="0"/>
          <w:tl2br w:val="nil"/>
          <w:tr2bl w:val="nil"/>
        </w:tcBorders>
      </w:tcPr>
    </w:tblStylePr>
  </w:style>
  <w:style w:type="table" w:customStyle="1" w:styleId="29">
    <w:name w:val="中等深浅网格 3 - 着色 3"/>
    <w:basedOn w:val="14"/>
    <w:qFormat/>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CellMar>
        <w:top w:w="0" w:type="dxa"/>
        <w:left w:w="108" w:type="dxa"/>
        <w:bottom w:w="0" w:type="dxa"/>
        <w:right w:w="108" w:type="dxa"/>
      </w:tblCellMar>
    </w:tblPr>
    <w:tcPr>
      <w:shd w:val="clear" w:color="auto" w:fill="E6EED5"/>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l2br w:val="nil"/>
          <w:tr2bl w:val="nil"/>
        </w:tcBorders>
        <w:shd w:val="clear" w:color="auto" w:fill="9BBB59"/>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l2br w:val="nil"/>
          <w:tr2bl w:val="nil"/>
        </w:tcBorders>
        <w:shd w:val="clear" w:color="auto" w:fill="9BBB59"/>
      </w:tcPr>
    </w:tblStylePr>
    <w:tblStylePr w:type="firstCol">
      <w:rPr>
        <w:b/>
        <w:bCs/>
        <w:i w:val="0"/>
        <w:iCs w:val="0"/>
        <w:color w:val="FFFFFF"/>
      </w:rPr>
      <w:tcPr>
        <w:tcBorders>
          <w:top w:val="nil"/>
          <w:left w:val="single" w:color="FFFFFF" w:sz="8" w:space="0"/>
          <w:bottom w:val="nil"/>
          <w:right w:val="single" w:color="FFFFFF" w:sz="24" w:space="0"/>
          <w:insideH w:val="nil"/>
          <w:insideV w:val="nil"/>
          <w:tl2br w:val="nil"/>
          <w:tr2bl w:val="nil"/>
        </w:tcBorders>
        <w:shd w:val="clear" w:color="auto" w:fill="9BBB59"/>
      </w:tcPr>
    </w:tblStylePr>
    <w:tblStylePr w:type="lastCol">
      <w:rPr>
        <w:b/>
        <w:bCs/>
        <w:i w:val="0"/>
        <w:iCs w:val="0"/>
        <w:color w:val="FFFFFF"/>
      </w:rPr>
      <w:tcPr>
        <w:tcBorders>
          <w:top w:val="nil"/>
          <w:left w:val="single" w:color="FFFFFF" w:sz="24" w:space="0"/>
          <w:bottom w:val="nil"/>
          <w:right w:val="nil"/>
          <w:insideH w:val="nil"/>
          <w:insideV w:val="nil"/>
          <w:tl2br w:val="nil"/>
          <w:tr2bl w:val="nil"/>
        </w:tcBorders>
        <w:shd w:val="clear" w:color="auto" w:fill="9BBB59"/>
      </w:tcPr>
    </w:tblStylePr>
    <w:tblStylePr w:type="band1Vert">
      <w:tcPr>
        <w:tcBorders>
          <w:top w:val="single" w:color="FFFFFF" w:sz="8" w:space="0"/>
          <w:left w:val="single" w:color="FFFFFF" w:sz="8" w:space="0"/>
          <w:bottom w:val="single" w:color="FFFFFF" w:sz="8" w:space="0"/>
          <w:right w:val="single" w:color="FFFFFF" w:sz="8" w:space="0"/>
          <w:insideH w:val="nil"/>
          <w:insideV w:val="nil"/>
          <w:tl2br w:val="nil"/>
          <w:tr2bl w:val="nil"/>
        </w:tcBorders>
        <w:shd w:val="clear" w:color="auto" w:fill="CDDDAC"/>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l2br w:val="nil"/>
          <w:tr2bl w:val="nil"/>
        </w:tcBorders>
        <w:shd w:val="clear" w:color="auto" w:fill="CDDDAC"/>
      </w:tcPr>
    </w:tblStylePr>
  </w:style>
  <w:style w:type="paragraph" w:styleId="30">
    <w:name w:val="List Paragraph"/>
    <w:basedOn w:val="1"/>
    <w:qFormat/>
    <w:uiPriority w:val="34"/>
    <w:pPr>
      <w:ind w:firstLine="420" w:firstLineChars="200"/>
    </w:pPr>
  </w:style>
  <w:style w:type="table" w:customStyle="1" w:styleId="31">
    <w:name w:val="浅色网格 - 强调文字颜色 11"/>
    <w:basedOn w:val="14"/>
    <w:qFormat/>
    <w:uiPriority w:val="62"/>
    <w:tblPr>
      <w:tblBorders>
        <w:top w:val="single" w:color="7FD13B" w:sz="8" w:space="0"/>
        <w:left w:val="single" w:color="7FD13B" w:sz="8" w:space="0"/>
        <w:bottom w:val="single" w:color="7FD13B" w:sz="8" w:space="0"/>
        <w:right w:val="single" w:color="7FD13B" w:sz="8" w:space="0"/>
        <w:insideH w:val="single" w:color="7FD13B" w:sz="8" w:space="0"/>
        <w:insideV w:val="single" w:color="7FD13B" w:sz="8" w:space="0"/>
      </w:tblBorders>
      <w:tblCellMar>
        <w:top w:w="0" w:type="dxa"/>
        <w:left w:w="108" w:type="dxa"/>
        <w:bottom w:w="0" w:type="dxa"/>
        <w:right w:w="108" w:type="dxa"/>
      </w:tblCellMar>
    </w:tblPr>
    <w:tblStylePr w:type="firstRow">
      <w:pPr>
        <w:spacing w:before="0" w:after="0" w:line="240" w:lineRule="auto"/>
      </w:pPr>
      <w:rPr>
        <w:rFonts w:cs="Courier New"/>
        <w:b/>
        <w:bCs/>
      </w:rPr>
      <w:tcPr>
        <w:tcBorders>
          <w:top w:val="single" w:color="7FD13B" w:sz="8" w:space="0"/>
          <w:left w:val="single" w:color="7FD13B" w:sz="8" w:space="0"/>
          <w:bottom w:val="single" w:color="7FD13B" w:sz="18" w:space="0"/>
          <w:right w:val="single" w:color="7FD13B" w:sz="8" w:space="0"/>
          <w:insideH w:val="nil"/>
          <w:insideV w:val="single" w:sz="8" w:space="0"/>
          <w:tl2br w:val="nil"/>
          <w:tr2bl w:val="nil"/>
        </w:tcBorders>
      </w:tcPr>
    </w:tblStylePr>
    <w:tblStylePr w:type="lastRow">
      <w:pPr>
        <w:spacing w:before="0" w:after="0" w:line="240" w:lineRule="auto"/>
      </w:pPr>
      <w:rPr>
        <w:rFonts w:cs="Courier New"/>
        <w:b/>
        <w:bCs/>
      </w:rPr>
      <w:tcPr>
        <w:tcBorders>
          <w:top w:val="double" w:color="7FD13B" w:sz="6" w:space="0"/>
          <w:left w:val="single" w:color="7FD13B" w:sz="8" w:space="0"/>
          <w:bottom w:val="single" w:color="7FD13B" w:sz="8" w:space="0"/>
          <w:right w:val="single" w:color="7FD13B" w:sz="8" w:space="0"/>
          <w:insideH w:val="nil"/>
          <w:insideV w:val="single" w:sz="8" w:space="0"/>
          <w:tl2br w:val="nil"/>
          <w:tr2bl w:val="nil"/>
        </w:tcBorders>
      </w:tcPr>
    </w:tblStylePr>
    <w:tblStylePr w:type="firstCol">
      <w:rPr>
        <w:rFonts w:cs="Courier New"/>
        <w:b/>
        <w:bCs/>
      </w:rPr>
    </w:tblStylePr>
    <w:tblStylePr w:type="lastCol">
      <w:rPr>
        <w:rFonts w:cs="Courier New"/>
        <w:b/>
        <w:bCs/>
      </w:rPr>
      <w:tcPr>
        <w:tcBorders>
          <w:top w:val="single" w:color="7FD13B" w:sz="8" w:space="0"/>
          <w:left w:val="single" w:color="7FD13B" w:sz="8" w:space="0"/>
          <w:bottom w:val="single" w:color="7FD13B" w:sz="8" w:space="0"/>
          <w:right w:val="single" w:color="7FD13B" w:sz="8" w:space="0"/>
          <w:insideH w:val="nil"/>
          <w:insideV w:val="nil"/>
          <w:tl2br w:val="nil"/>
          <w:tr2bl w:val="nil"/>
        </w:tcBorders>
      </w:tcPr>
    </w:tblStylePr>
    <w:tblStylePr w:type="band1Vert">
      <w:tcPr>
        <w:tcBorders>
          <w:top w:val="single" w:color="7FD13B" w:sz="8" w:space="0"/>
          <w:left w:val="single" w:color="7FD13B" w:sz="8" w:space="0"/>
          <w:bottom w:val="single" w:color="7FD13B" w:sz="8" w:space="0"/>
          <w:right w:val="single" w:color="7FD13B" w:sz="8" w:space="0"/>
          <w:insideH w:val="nil"/>
          <w:insideV w:val="nil"/>
          <w:tl2br w:val="nil"/>
          <w:tr2bl w:val="nil"/>
        </w:tcBorders>
        <w:shd w:val="clear" w:color="auto" w:fill="DFF3CE"/>
      </w:tcPr>
    </w:tblStylePr>
    <w:tblStylePr w:type="band1Horz">
      <w:tcPr>
        <w:tcBorders>
          <w:top w:val="single" w:color="7FD13B" w:sz="8" w:space="0"/>
          <w:left w:val="single" w:color="7FD13B" w:sz="8" w:space="0"/>
          <w:bottom w:val="single" w:color="7FD13B" w:sz="8" w:space="0"/>
          <w:right w:val="single" w:color="7FD13B" w:sz="8" w:space="0"/>
          <w:insideH w:val="nil"/>
          <w:insideV w:val="single" w:sz="8" w:space="0"/>
          <w:tl2br w:val="nil"/>
          <w:tr2bl w:val="nil"/>
        </w:tcBorders>
        <w:shd w:val="clear" w:color="auto" w:fill="DFF3CE"/>
      </w:tcPr>
    </w:tblStylePr>
    <w:tblStylePr w:type="band2Horz">
      <w:tcPr>
        <w:tcBorders>
          <w:top w:val="single" w:color="7FD13B" w:sz="8" w:space="0"/>
          <w:left w:val="single" w:color="7FD13B" w:sz="8" w:space="0"/>
          <w:bottom w:val="single" w:color="7FD13B" w:sz="8" w:space="0"/>
          <w:right w:val="single" w:color="7FD13B" w:sz="8" w:space="0"/>
          <w:insideH w:val="nil"/>
          <w:insideV w:val="single" w:sz="8" w:space="0"/>
          <w:tl2br w:val="nil"/>
          <w:tr2bl w:val="nil"/>
        </w:tcBorders>
      </w:tcPr>
    </w:tblStylePr>
  </w:style>
  <w:style w:type="table" w:customStyle="1" w:styleId="32">
    <w:name w:val="浅色网格 - 强调文字颜色 111"/>
    <w:basedOn w:val="14"/>
    <w:qFormat/>
    <w:uiPriority w:val="62"/>
    <w:tblPr>
      <w:tblBorders>
        <w:top w:val="single" w:color="F07F09" w:sz="8" w:space="0"/>
        <w:left w:val="single" w:color="F07F09" w:sz="8" w:space="0"/>
        <w:bottom w:val="single" w:color="F07F09" w:sz="8" w:space="0"/>
        <w:right w:val="single" w:color="F07F09" w:sz="8" w:space="0"/>
        <w:insideH w:val="single" w:color="F07F09" w:sz="8" w:space="0"/>
        <w:insideV w:val="single" w:color="F07F09" w:sz="8" w:space="0"/>
      </w:tblBorders>
      <w:tblCellMar>
        <w:top w:w="0" w:type="dxa"/>
        <w:left w:w="108" w:type="dxa"/>
        <w:bottom w:w="0" w:type="dxa"/>
        <w:right w:w="108" w:type="dxa"/>
      </w:tblCellMar>
    </w:tblPr>
    <w:tblStylePr w:type="firstRow">
      <w:pPr>
        <w:spacing w:before="0" w:after="0" w:line="240" w:lineRule="auto"/>
      </w:pPr>
      <w:rPr>
        <w:rFonts w:cs="Courier New"/>
        <w:b/>
        <w:bCs/>
      </w:rPr>
      <w:tcPr>
        <w:tcBorders>
          <w:top w:val="single" w:color="F07F09" w:sz="8" w:space="0"/>
          <w:left w:val="single" w:color="F07F09" w:sz="8" w:space="0"/>
          <w:bottom w:val="single" w:color="F07F09" w:sz="18" w:space="0"/>
          <w:right w:val="single" w:color="F07F09" w:sz="8" w:space="0"/>
          <w:insideH w:val="nil"/>
          <w:insideV w:val="single" w:sz="8" w:space="0"/>
          <w:tl2br w:val="nil"/>
          <w:tr2bl w:val="nil"/>
        </w:tcBorders>
      </w:tcPr>
    </w:tblStylePr>
    <w:tblStylePr w:type="lastRow">
      <w:pPr>
        <w:spacing w:before="0" w:after="0" w:line="240" w:lineRule="auto"/>
      </w:pPr>
      <w:rPr>
        <w:rFonts w:cs="Courier New"/>
        <w:b/>
        <w:bCs/>
      </w:rPr>
      <w:tcPr>
        <w:tcBorders>
          <w:top w:val="double" w:color="F07F09" w:sz="6" w:space="0"/>
          <w:left w:val="single" w:color="F07F09" w:sz="8" w:space="0"/>
          <w:bottom w:val="single" w:color="F07F09" w:sz="8" w:space="0"/>
          <w:right w:val="single" w:color="F07F09" w:sz="8" w:space="0"/>
          <w:insideH w:val="nil"/>
          <w:insideV w:val="single" w:sz="8" w:space="0"/>
          <w:tl2br w:val="nil"/>
          <w:tr2bl w:val="nil"/>
        </w:tcBorders>
      </w:tcPr>
    </w:tblStylePr>
    <w:tblStylePr w:type="firstCol">
      <w:rPr>
        <w:rFonts w:cs="Courier New"/>
        <w:b/>
        <w:bCs/>
      </w:rPr>
    </w:tblStylePr>
    <w:tblStylePr w:type="lastCol">
      <w:rPr>
        <w:rFonts w:cs="Courier New"/>
        <w:b/>
        <w:bCs/>
      </w:rPr>
      <w:tcPr>
        <w:tcBorders>
          <w:top w:val="single" w:color="F07F09" w:sz="8" w:space="0"/>
          <w:left w:val="single" w:color="F07F09" w:sz="8" w:space="0"/>
          <w:bottom w:val="single" w:color="F07F09" w:sz="8" w:space="0"/>
          <w:right w:val="single" w:color="F07F09" w:sz="8" w:space="0"/>
          <w:insideH w:val="nil"/>
          <w:insideV w:val="nil"/>
          <w:tl2br w:val="nil"/>
          <w:tr2bl w:val="nil"/>
        </w:tcBorders>
      </w:tcPr>
    </w:tblStylePr>
    <w:tblStylePr w:type="band1Vert">
      <w:tcPr>
        <w:tcBorders>
          <w:top w:val="single" w:color="F07F09" w:sz="8" w:space="0"/>
          <w:left w:val="single" w:color="F07F09" w:sz="8" w:space="0"/>
          <w:bottom w:val="single" w:color="F07F09" w:sz="8" w:space="0"/>
          <w:right w:val="single" w:color="F07F09" w:sz="8" w:space="0"/>
          <w:insideH w:val="nil"/>
          <w:insideV w:val="nil"/>
          <w:tl2br w:val="nil"/>
          <w:tr2bl w:val="nil"/>
        </w:tcBorders>
        <w:shd w:val="clear" w:color="auto" w:fill="FCDFC0"/>
      </w:tcPr>
    </w:tblStylePr>
    <w:tblStylePr w:type="band1Horz">
      <w:tcPr>
        <w:tcBorders>
          <w:top w:val="single" w:color="F07F09" w:sz="8" w:space="0"/>
          <w:left w:val="single" w:color="F07F09" w:sz="8" w:space="0"/>
          <w:bottom w:val="single" w:color="F07F09" w:sz="8" w:space="0"/>
          <w:right w:val="single" w:color="F07F09" w:sz="8" w:space="0"/>
          <w:insideH w:val="nil"/>
          <w:insideV w:val="single" w:sz="8" w:space="0"/>
          <w:tl2br w:val="nil"/>
          <w:tr2bl w:val="nil"/>
        </w:tcBorders>
        <w:shd w:val="clear" w:color="auto" w:fill="FCDFC0"/>
      </w:tcPr>
    </w:tblStylePr>
    <w:tblStylePr w:type="band2Horz">
      <w:tcPr>
        <w:tcBorders>
          <w:top w:val="single" w:color="F07F09" w:sz="8" w:space="0"/>
          <w:left w:val="single" w:color="F07F09" w:sz="8" w:space="0"/>
          <w:bottom w:val="single" w:color="F07F09" w:sz="8" w:space="0"/>
          <w:right w:val="single" w:color="F07F09" w:sz="8" w:space="0"/>
          <w:insideH w:val="nil"/>
          <w:insideV w:val="single" w:sz="8" w:space="0"/>
          <w:tl2br w:val="nil"/>
          <w:tr2bl w:val="nil"/>
        </w:tcBorders>
      </w:tcPr>
    </w:tblStylePr>
  </w:style>
  <w:style w:type="table" w:customStyle="1" w:styleId="33">
    <w:name w:val="中等深浅网格 3 - 强调文字颜色 31"/>
    <w:basedOn w:val="14"/>
    <w:qFormat/>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CellMar>
        <w:top w:w="0" w:type="dxa"/>
        <w:left w:w="108" w:type="dxa"/>
        <w:bottom w:w="0" w:type="dxa"/>
        <w:right w:w="108" w:type="dxa"/>
      </w:tblCellMar>
    </w:tblPr>
    <w:tcPr>
      <w:shd w:val="clear" w:color="auto" w:fill="B5D9EF"/>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l2br w:val="nil"/>
          <w:tr2bl w:val="nil"/>
        </w:tcBorders>
        <w:shd w:val="clear" w:color="auto" w:fill="1B587C"/>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l2br w:val="nil"/>
          <w:tr2bl w:val="nil"/>
        </w:tcBorders>
        <w:shd w:val="clear" w:color="auto" w:fill="1B587C"/>
      </w:tcPr>
    </w:tblStylePr>
    <w:tblStylePr w:type="firstCol">
      <w:rPr>
        <w:b/>
        <w:bCs/>
        <w:i w:val="0"/>
        <w:iCs w:val="0"/>
        <w:color w:val="FFFFFF"/>
      </w:rPr>
      <w:tcPr>
        <w:tcBorders>
          <w:top w:val="nil"/>
          <w:left w:val="single" w:color="FFFFFF" w:sz="8" w:space="0"/>
          <w:bottom w:val="nil"/>
          <w:right w:val="single" w:color="FFFFFF" w:sz="24" w:space="0"/>
          <w:insideH w:val="nil"/>
          <w:insideV w:val="nil"/>
          <w:tl2br w:val="nil"/>
          <w:tr2bl w:val="nil"/>
        </w:tcBorders>
        <w:shd w:val="clear" w:color="auto" w:fill="1B587C"/>
      </w:tcPr>
    </w:tblStylePr>
    <w:tblStylePr w:type="lastCol">
      <w:rPr>
        <w:b/>
        <w:bCs/>
        <w:i w:val="0"/>
        <w:iCs w:val="0"/>
        <w:color w:val="FFFFFF"/>
      </w:rPr>
      <w:tcPr>
        <w:tcBorders>
          <w:top w:val="nil"/>
          <w:left w:val="single" w:color="FFFFFF" w:sz="24" w:space="0"/>
          <w:bottom w:val="nil"/>
          <w:right w:val="nil"/>
          <w:insideH w:val="nil"/>
          <w:insideV w:val="nil"/>
          <w:tl2br w:val="nil"/>
          <w:tr2bl w:val="nil"/>
        </w:tcBorders>
        <w:shd w:val="clear" w:color="auto" w:fill="1B587C"/>
      </w:tcPr>
    </w:tblStylePr>
    <w:tblStylePr w:type="band1Vert">
      <w:tcPr>
        <w:tcBorders>
          <w:top w:val="single" w:color="FFFFFF" w:sz="8" w:space="0"/>
          <w:left w:val="single" w:color="FFFFFF" w:sz="8" w:space="0"/>
          <w:bottom w:val="single" w:color="FFFFFF" w:sz="8" w:space="0"/>
          <w:right w:val="single" w:color="FFFFFF" w:sz="8" w:space="0"/>
          <w:insideH w:val="nil"/>
          <w:insideV w:val="nil"/>
          <w:tl2br w:val="nil"/>
          <w:tr2bl w:val="nil"/>
        </w:tcBorders>
        <w:shd w:val="clear" w:color="auto" w:fill="6CB4DF"/>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l2br w:val="nil"/>
          <w:tr2bl w:val="nil"/>
        </w:tcBorders>
        <w:shd w:val="clear" w:color="auto" w:fill="6CB4DF"/>
      </w:tcPr>
    </w:tblStylePr>
  </w:style>
  <w:style w:type="table" w:customStyle="1" w:styleId="34">
    <w:name w:val="中等深浅网格 3 - 强调文字颜色 32"/>
    <w:basedOn w:val="14"/>
    <w:qFormat/>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CellMar>
        <w:top w:w="0" w:type="dxa"/>
        <w:left w:w="108" w:type="dxa"/>
        <w:bottom w:w="0" w:type="dxa"/>
        <w:right w:w="108" w:type="dxa"/>
      </w:tblCellMar>
    </w:tblPr>
    <w:tcPr>
      <w:shd w:val="clear" w:color="auto" w:fill="B5D9EF"/>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l2br w:val="nil"/>
          <w:tr2bl w:val="nil"/>
        </w:tcBorders>
        <w:shd w:val="clear" w:color="auto" w:fill="1B587C"/>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l2br w:val="nil"/>
          <w:tr2bl w:val="nil"/>
        </w:tcBorders>
        <w:shd w:val="clear" w:color="auto" w:fill="1B587C"/>
      </w:tcPr>
    </w:tblStylePr>
    <w:tblStylePr w:type="firstCol">
      <w:rPr>
        <w:b/>
        <w:bCs/>
        <w:i w:val="0"/>
        <w:iCs w:val="0"/>
        <w:color w:val="FFFFFF"/>
      </w:rPr>
      <w:tcPr>
        <w:tcBorders>
          <w:top w:val="nil"/>
          <w:left w:val="single" w:color="FFFFFF" w:sz="8" w:space="0"/>
          <w:bottom w:val="nil"/>
          <w:right w:val="single" w:color="FFFFFF" w:sz="24" w:space="0"/>
          <w:insideH w:val="nil"/>
          <w:insideV w:val="nil"/>
          <w:tl2br w:val="nil"/>
          <w:tr2bl w:val="nil"/>
        </w:tcBorders>
        <w:shd w:val="clear" w:color="auto" w:fill="1B587C"/>
      </w:tcPr>
    </w:tblStylePr>
    <w:tblStylePr w:type="lastCol">
      <w:rPr>
        <w:b/>
        <w:bCs/>
        <w:i w:val="0"/>
        <w:iCs w:val="0"/>
        <w:color w:val="FFFFFF"/>
      </w:rPr>
      <w:tcPr>
        <w:tcBorders>
          <w:top w:val="nil"/>
          <w:left w:val="single" w:color="FFFFFF" w:sz="24" w:space="0"/>
          <w:bottom w:val="nil"/>
          <w:right w:val="nil"/>
          <w:insideH w:val="nil"/>
          <w:insideV w:val="nil"/>
          <w:tl2br w:val="nil"/>
          <w:tr2bl w:val="nil"/>
        </w:tcBorders>
        <w:shd w:val="clear" w:color="auto" w:fill="1B587C"/>
      </w:tcPr>
    </w:tblStylePr>
    <w:tblStylePr w:type="band1Vert">
      <w:tcPr>
        <w:tcBorders>
          <w:top w:val="single" w:color="FFFFFF" w:sz="8" w:space="0"/>
          <w:left w:val="single" w:color="FFFFFF" w:sz="8" w:space="0"/>
          <w:bottom w:val="single" w:color="FFFFFF" w:sz="8" w:space="0"/>
          <w:right w:val="single" w:color="FFFFFF" w:sz="8" w:space="0"/>
          <w:insideH w:val="nil"/>
          <w:insideV w:val="nil"/>
          <w:tl2br w:val="nil"/>
          <w:tr2bl w:val="nil"/>
        </w:tcBorders>
        <w:shd w:val="clear" w:color="auto" w:fill="6CB4DF"/>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l2br w:val="nil"/>
          <w:tr2bl w:val="nil"/>
        </w:tcBorders>
        <w:shd w:val="clear" w:color="auto" w:fill="6CB4DF"/>
      </w:tcPr>
    </w:tblStylePr>
  </w:style>
  <w:style w:type="character" w:customStyle="1" w:styleId="35">
    <w:name w:val="日期 字符"/>
    <w:link w:val="7"/>
    <w:qFormat/>
    <w:uiPriority w:val="99"/>
    <w:rPr>
      <w:rFonts w:ascii="Times New Roman" w:hAnsi="Times New Roman" w:eastAsia="微软雅黑"/>
      <w:kern w:val="2"/>
      <w:sz w:val="21"/>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4</Pages>
  <Words>219</Words>
  <Characters>1249</Characters>
  <Lines>10</Lines>
  <Paragraphs>2</Paragraphs>
  <TotalTime>24</TotalTime>
  <ScaleCrop>false</ScaleCrop>
  <LinksUpToDate>false</LinksUpToDate>
  <CharactersWithSpaces>1466</CharactersWithSpaces>
  <Application>WPS Office_12.8.2.1119_F1E327BC-269C-435d-A152-05C5408002CA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2025-02-17T23:42:00Z</dcterms:created>
  <dc:creator>liuqiaoling</dc:creator>
  <cp:lastModifiedBy>lenovo</cp:lastModifiedBy>
  <cp:lastPrinted>2023-11-20T23:36:00Z</cp:lastPrinted>
  <dcterms:modified xsi:type="dcterms:W3CDTF">2025-03-24T09:24:51Z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2052-12.8.2.1119</vt:lpwstr>
  </property>
  <property fmtid="{D5CDD505-2E9C-101B-9397-08002B2CF9AE}" pid="3" name="ICV">
    <vt:lpwstr>396BCC6B463597DF63B4E067E3CDE0BD_42</vt:lpwstr>
  </property>
</Properties>
</file>