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华文中宋"/>
          <w:b/>
          <w:sz w:val="36"/>
          <w:szCs w:val="36"/>
        </w:rPr>
      </w:pPr>
      <w:bookmarkStart w:id="0" w:name="_GoBack"/>
      <w:bookmarkEnd w:id="0"/>
      <w:r>
        <w:rPr>
          <w:rFonts w:hint="eastAsia" w:ascii="Times New Roman" w:hAnsi="Times New Roman" w:eastAsia="华文中宋"/>
          <w:b/>
          <w:sz w:val="36"/>
          <w:szCs w:val="36"/>
        </w:rPr>
        <w:t>上海市交通委员会关于航道行政处罚的裁量基准</w:t>
      </w:r>
    </w:p>
    <w:p>
      <w:pPr>
        <w:spacing w:line="560" w:lineRule="exact"/>
        <w:jc w:val="center"/>
        <w:rPr>
          <w:rFonts w:ascii="Times New Roman" w:hAnsi="Times New Roman" w:eastAsia="华文中宋"/>
          <w:b/>
          <w:sz w:val="36"/>
          <w:szCs w:val="36"/>
        </w:rPr>
      </w:pPr>
    </w:p>
    <w:tbl>
      <w:tblPr>
        <w:tblStyle w:val="11"/>
        <w:tblW w:w="15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227"/>
        <w:gridCol w:w="4397"/>
        <w:gridCol w:w="3737"/>
        <w:gridCol w:w="1434"/>
        <w:gridCol w:w="220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790" w:type="dxa"/>
            <w:vAlign w:val="center"/>
          </w:tcPr>
          <w:p>
            <w:pPr>
              <w:widowControl/>
              <w:spacing w:line="300" w:lineRule="exact"/>
              <w:jc w:val="center"/>
              <w:rPr>
                <w:rFonts w:ascii="黑体" w:hAnsi="黑体" w:eastAsia="黑体" w:cs="宋体"/>
                <w:b/>
                <w:kern w:val="0"/>
                <w:sz w:val="24"/>
                <w:szCs w:val="24"/>
              </w:rPr>
            </w:pPr>
            <w:r>
              <w:rPr>
                <w:rFonts w:hint="eastAsia" w:ascii="黑体" w:hAnsi="黑体" w:eastAsia="黑体" w:cs="宋体"/>
                <w:b/>
                <w:kern w:val="0"/>
                <w:sz w:val="24"/>
                <w:szCs w:val="24"/>
              </w:rPr>
              <w:t>序号</w:t>
            </w:r>
          </w:p>
        </w:tc>
        <w:tc>
          <w:tcPr>
            <w:tcW w:w="1227" w:type="dxa"/>
            <w:vAlign w:val="center"/>
          </w:tcPr>
          <w:p>
            <w:pPr>
              <w:widowControl/>
              <w:spacing w:line="300" w:lineRule="exact"/>
              <w:jc w:val="center"/>
              <w:rPr>
                <w:rFonts w:ascii="黑体" w:hAnsi="黑体" w:eastAsia="黑体" w:cs="宋体"/>
                <w:b/>
                <w:kern w:val="0"/>
                <w:sz w:val="24"/>
                <w:szCs w:val="24"/>
              </w:rPr>
            </w:pPr>
            <w:r>
              <w:rPr>
                <w:rFonts w:hint="eastAsia" w:ascii="黑体" w:hAnsi="黑体" w:eastAsia="黑体" w:cs="宋体"/>
                <w:b/>
                <w:kern w:val="0"/>
                <w:sz w:val="24"/>
                <w:szCs w:val="24"/>
              </w:rPr>
              <w:t>违法行为</w:t>
            </w:r>
          </w:p>
        </w:tc>
        <w:tc>
          <w:tcPr>
            <w:tcW w:w="4397" w:type="dxa"/>
            <w:vAlign w:val="center"/>
          </w:tcPr>
          <w:p>
            <w:pPr>
              <w:widowControl/>
              <w:spacing w:line="300" w:lineRule="exact"/>
              <w:jc w:val="center"/>
              <w:rPr>
                <w:rFonts w:ascii="黑体" w:hAnsi="黑体" w:eastAsia="黑体" w:cs="宋体"/>
                <w:b/>
                <w:kern w:val="0"/>
                <w:sz w:val="24"/>
                <w:szCs w:val="24"/>
              </w:rPr>
            </w:pPr>
            <w:r>
              <w:rPr>
                <w:rFonts w:hint="eastAsia" w:ascii="黑体" w:hAnsi="黑体" w:eastAsia="黑体" w:cs="宋体"/>
                <w:b/>
                <w:kern w:val="0"/>
                <w:sz w:val="24"/>
                <w:szCs w:val="24"/>
              </w:rPr>
              <w:t>违法依据</w:t>
            </w:r>
          </w:p>
        </w:tc>
        <w:tc>
          <w:tcPr>
            <w:tcW w:w="3737" w:type="dxa"/>
            <w:vAlign w:val="center"/>
          </w:tcPr>
          <w:p>
            <w:pPr>
              <w:widowControl/>
              <w:spacing w:line="300" w:lineRule="exact"/>
              <w:jc w:val="center"/>
              <w:rPr>
                <w:rFonts w:ascii="黑体" w:hAnsi="黑体" w:eastAsia="黑体" w:cs="宋体"/>
                <w:b/>
                <w:kern w:val="0"/>
                <w:sz w:val="24"/>
                <w:szCs w:val="24"/>
              </w:rPr>
            </w:pPr>
            <w:r>
              <w:rPr>
                <w:rFonts w:hint="eastAsia" w:ascii="黑体" w:hAnsi="黑体" w:eastAsia="黑体" w:cs="宋体"/>
                <w:b/>
                <w:kern w:val="0"/>
                <w:sz w:val="24"/>
                <w:szCs w:val="24"/>
              </w:rPr>
              <w:t>处罚依据</w:t>
            </w:r>
          </w:p>
        </w:tc>
        <w:tc>
          <w:tcPr>
            <w:tcW w:w="3634" w:type="dxa"/>
            <w:gridSpan w:val="2"/>
            <w:vAlign w:val="center"/>
          </w:tcPr>
          <w:p>
            <w:pPr>
              <w:widowControl/>
              <w:spacing w:line="300" w:lineRule="exact"/>
              <w:jc w:val="center"/>
              <w:rPr>
                <w:rFonts w:ascii="黑体" w:hAnsi="黑体" w:eastAsia="黑体" w:cs="宋体"/>
                <w:b/>
                <w:kern w:val="0"/>
                <w:sz w:val="24"/>
                <w:szCs w:val="24"/>
              </w:rPr>
            </w:pPr>
            <w:r>
              <w:rPr>
                <w:rFonts w:hint="eastAsia" w:ascii="黑体" w:hAnsi="黑体" w:eastAsia="黑体" w:cs="宋体"/>
                <w:b/>
                <w:kern w:val="0"/>
                <w:sz w:val="24"/>
                <w:szCs w:val="24"/>
              </w:rPr>
              <w:t>裁量情节</w:t>
            </w:r>
          </w:p>
        </w:tc>
        <w:tc>
          <w:tcPr>
            <w:tcW w:w="1746" w:type="dxa"/>
            <w:vAlign w:val="center"/>
          </w:tcPr>
          <w:p>
            <w:pPr>
              <w:widowControl/>
              <w:spacing w:line="300" w:lineRule="exact"/>
              <w:jc w:val="center"/>
              <w:rPr>
                <w:rFonts w:ascii="黑体" w:hAnsi="黑体" w:eastAsia="黑体" w:cs="宋体"/>
                <w:b/>
                <w:kern w:val="0"/>
                <w:sz w:val="24"/>
                <w:szCs w:val="24"/>
              </w:rPr>
            </w:pPr>
            <w:r>
              <w:rPr>
                <w:rFonts w:hint="eastAsia" w:ascii="黑体" w:hAnsi="黑体" w:eastAsia="黑体" w:cs="宋体"/>
                <w:b/>
                <w:kern w:val="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0" w:type="dxa"/>
            <w:vMerge w:val="restart"/>
            <w:vAlign w:val="center"/>
          </w:tcPr>
          <w:p>
            <w:pPr>
              <w:widowControl/>
              <w:spacing w:line="300" w:lineRule="exact"/>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w:t>
            </w:r>
          </w:p>
        </w:tc>
        <w:tc>
          <w:tcPr>
            <w:tcW w:w="122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建设单位未依法报送航道通航条件影响评价材料而开工建设</w:t>
            </w:r>
          </w:p>
        </w:tc>
        <w:tc>
          <w:tcPr>
            <w:tcW w:w="439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《中华人民共和国航道法》第二十八条</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建设与航道有关的工程，建设单位应当在工程可行性研究阶段就建设项目对航道通航条件的影响作出评价，并报送有审核权的交通运输主管部门或者航道管理机构审核，但下列工程除外：</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（一）临河、临湖的中小河流治理工程；</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（二）不通航河流上建设的水工程；</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（三）现有水工程的水毁修复、除险加固、不涉及通航建筑物和不改变航道原通航条件的更新改造等不影响航道通航条件的工程。</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建设单位报送的航道通航条件影响评价材料不符合本法规定的，可以进行补充或者修改，重新报送审核部门审核。</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tc>
        <w:tc>
          <w:tcPr>
            <w:tcW w:w="373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《中华人民共和国航道法》第三十九条第一款</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tc>
        <w:tc>
          <w:tcPr>
            <w:tcW w:w="1434"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此项目是指位于内河五级以下航道或者通航不足5000吨级海轮航道的建设项目</w:t>
            </w:r>
          </w:p>
        </w:tc>
        <w:tc>
          <w:tcPr>
            <w:tcW w:w="2200"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经责令停止建设，限期补办手续，停止建设并按期补办手续的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1434" w:type="dxa"/>
            <w:vMerge w:val="continue"/>
            <w:vAlign w:val="center"/>
          </w:tcPr>
          <w:p>
            <w:pPr>
              <w:widowControl/>
              <w:spacing w:line="300" w:lineRule="exact"/>
              <w:rPr>
                <w:rFonts w:ascii="仿宋_GB2312" w:eastAsia="仿宋_GB2312" w:cs="宋体" w:hAnsiTheme="minorEastAsia"/>
                <w:kern w:val="0"/>
                <w:sz w:val="24"/>
                <w:szCs w:val="24"/>
              </w:rPr>
            </w:pPr>
          </w:p>
        </w:tc>
        <w:tc>
          <w:tcPr>
            <w:tcW w:w="2200"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经责令停止建设，限期补办手续，停止建设但未按期补办手续的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处一万元以上（不包括本数）二万元以下罚款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1434" w:type="dxa"/>
            <w:vMerge w:val="continue"/>
            <w:vAlign w:val="center"/>
          </w:tcPr>
          <w:p>
            <w:pPr>
              <w:widowControl/>
              <w:spacing w:line="300" w:lineRule="exact"/>
              <w:rPr>
                <w:rFonts w:ascii="仿宋_GB2312" w:eastAsia="仿宋_GB2312" w:cs="宋体" w:hAnsiTheme="minorEastAsia"/>
                <w:kern w:val="0"/>
                <w:sz w:val="24"/>
                <w:szCs w:val="24"/>
              </w:rPr>
            </w:pPr>
          </w:p>
        </w:tc>
        <w:tc>
          <w:tcPr>
            <w:tcW w:w="2200"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经责令停止建设，限期补办手续，逾期不补办手续继续建设的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责令恢复原状，处二十万元以上三十万元以下罚款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1434"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此项目是指位于内河四级以上航道或者通航5000吨级以上海轮航道的建设项目</w:t>
            </w:r>
          </w:p>
        </w:tc>
        <w:tc>
          <w:tcPr>
            <w:tcW w:w="2200"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经责令停止建设，限期补办手续，停止建设并按期补办手续的</w:t>
            </w:r>
            <w:r>
              <w:rPr>
                <w:rFonts w:ascii="仿宋_GB2312" w:eastAsia="仿宋_GB2312" w:cs="宋体" w:hAnsiTheme="minorEastAsia"/>
                <w:kern w:val="0"/>
                <w:sz w:val="24"/>
                <w:szCs w:val="24"/>
              </w:rPr>
              <w:t xml:space="preserve"> </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处一万元以上（不包括本数）二万元以下罚款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1434" w:type="dxa"/>
            <w:vMerge w:val="continue"/>
            <w:vAlign w:val="center"/>
          </w:tcPr>
          <w:p>
            <w:pPr>
              <w:spacing w:line="300" w:lineRule="exact"/>
              <w:rPr>
                <w:rFonts w:ascii="仿宋_GB2312" w:eastAsia="仿宋_GB2312" w:cs="宋体" w:hAnsiTheme="minorEastAsia"/>
                <w:kern w:val="0"/>
                <w:sz w:val="24"/>
                <w:szCs w:val="24"/>
              </w:rPr>
            </w:pPr>
          </w:p>
        </w:tc>
        <w:tc>
          <w:tcPr>
            <w:tcW w:w="2200"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经责令停止建设，限期补办手续，停止建设但未按期补办手续的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处二万元以上（不包括本数）三万元以下罚款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1434" w:type="dxa"/>
            <w:vMerge w:val="continue"/>
            <w:vAlign w:val="center"/>
          </w:tcPr>
          <w:p>
            <w:pPr>
              <w:widowControl/>
              <w:spacing w:line="300" w:lineRule="exact"/>
              <w:rPr>
                <w:rFonts w:ascii="仿宋_GB2312" w:eastAsia="仿宋_GB2312" w:cs="宋体" w:hAnsiTheme="minorEastAsia"/>
                <w:kern w:val="0"/>
                <w:sz w:val="24"/>
                <w:szCs w:val="24"/>
              </w:rPr>
            </w:pPr>
          </w:p>
        </w:tc>
        <w:tc>
          <w:tcPr>
            <w:tcW w:w="2200"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经责令停止建设，限期补办手续，逾期不补办手续继续建设的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责令恢复原状，处三十万元以上（不包括本数）五十万元以下罚款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90" w:type="dxa"/>
            <w:vMerge w:val="restart"/>
            <w:vAlign w:val="center"/>
          </w:tcPr>
          <w:p>
            <w:pPr>
              <w:widowControl/>
              <w:spacing w:line="300" w:lineRule="exact"/>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w:t>
            </w:r>
          </w:p>
        </w:tc>
        <w:tc>
          <w:tcPr>
            <w:tcW w:w="122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报送的航道通航条件影响评价材料未通过审核，建设单位开工建设</w:t>
            </w:r>
          </w:p>
        </w:tc>
        <w:tc>
          <w:tcPr>
            <w:tcW w:w="439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《中华人民共和国航道法》第二十八条</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第二十八条 建设与航道有关的工程，建设单位应当在工程可行性研究阶段就建设项目对航道通航条件的影响作出评价，并报送有审核权的交通运输主管部门或者航道管理机构审核，但下列工程除外：</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（一）临河、临湖的中小河流治理工程；</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（二）不通航河流上建设的水工程；</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（三）现有水工程的水毁修复、除险加固、不涉及通航建筑物和不改变航道原通航条件的更新改造等不影响航道通航条件的工程。</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建设单位报送的航道通航条件影响评价材料不符合本法规定的，可以进行补充或者修改，重新报送审核部门审核。</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tc>
        <w:tc>
          <w:tcPr>
            <w:tcW w:w="373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《中华人民共和国航道法》第三十九条第二款</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报送的航道通航条件影响评价材料未通过审核，建设单位开工建设的，由有审核权的交通运输主管部门或者航道管理机构责令停止建设、恢复原状，处二十万元以上五十万元以下的罚款。</w:t>
            </w:r>
          </w:p>
        </w:tc>
        <w:tc>
          <w:tcPr>
            <w:tcW w:w="1434"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此项目是指位于内河五级以下航道或者通航不足5000吨级海轮航道的建设项目</w:t>
            </w:r>
          </w:p>
        </w:tc>
        <w:tc>
          <w:tcPr>
            <w:tcW w:w="2200" w:type="dxa"/>
            <w:vAlign w:val="center"/>
          </w:tcPr>
          <w:p>
            <w:pPr>
              <w:widowControl/>
              <w:spacing w:line="300" w:lineRule="exact"/>
              <w:rPr>
                <w:rFonts w:ascii="仿宋_GB2312" w:eastAsia="仿宋_GB2312" w:cs="宋体" w:hAnsiTheme="minorEastAsia"/>
                <w:kern w:val="0"/>
                <w:sz w:val="24"/>
                <w:szCs w:val="24"/>
                <w:highlight w:val="yellow"/>
              </w:rPr>
            </w:pPr>
            <w:r>
              <w:rPr>
                <w:rFonts w:hint="eastAsia" w:ascii="仿宋_GB2312" w:eastAsia="仿宋_GB2312" w:cs="宋体" w:hAnsiTheme="minorEastAsia"/>
                <w:kern w:val="0"/>
                <w:sz w:val="24"/>
                <w:szCs w:val="24"/>
              </w:rPr>
              <w:t>经责令停止建设、恢复原状，停止建设并恢复原状的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处二十万元以上二十五万元以下罚款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1434" w:type="dxa"/>
            <w:vMerge w:val="continue"/>
            <w:vAlign w:val="center"/>
          </w:tcPr>
          <w:p>
            <w:pPr>
              <w:spacing w:line="300" w:lineRule="exact"/>
              <w:rPr>
                <w:rFonts w:ascii="仿宋_GB2312" w:eastAsia="仿宋_GB2312" w:cs="宋体" w:hAnsiTheme="minorEastAsia"/>
                <w:kern w:val="0"/>
                <w:sz w:val="24"/>
                <w:szCs w:val="24"/>
              </w:rPr>
            </w:pPr>
          </w:p>
        </w:tc>
        <w:tc>
          <w:tcPr>
            <w:tcW w:w="2200" w:type="dxa"/>
            <w:vAlign w:val="center"/>
          </w:tcPr>
          <w:p>
            <w:pPr>
              <w:widowControl/>
              <w:spacing w:line="300" w:lineRule="exact"/>
              <w:rPr>
                <w:rFonts w:ascii="仿宋_GB2312" w:eastAsia="仿宋_GB2312" w:cs="宋体" w:hAnsiTheme="minorEastAsia"/>
                <w:kern w:val="0"/>
                <w:sz w:val="24"/>
                <w:szCs w:val="24"/>
                <w:highlight w:val="yellow"/>
              </w:rPr>
            </w:pPr>
            <w:r>
              <w:rPr>
                <w:rFonts w:hint="eastAsia" w:ascii="仿宋_GB2312" w:eastAsia="仿宋_GB2312" w:cs="宋体" w:hAnsiTheme="minorEastAsia"/>
                <w:kern w:val="0"/>
                <w:sz w:val="24"/>
                <w:szCs w:val="24"/>
              </w:rPr>
              <w:t>经责令停止建设、恢复原状，停止建设但未恢复原状的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处二十五万元以上（不包括本数）三十万元以下罚款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1434" w:type="dxa"/>
            <w:vMerge w:val="continue"/>
            <w:vAlign w:val="center"/>
          </w:tcPr>
          <w:p>
            <w:pPr>
              <w:spacing w:line="300" w:lineRule="exact"/>
              <w:rPr>
                <w:rFonts w:ascii="仿宋_GB2312" w:eastAsia="仿宋_GB2312" w:cs="宋体" w:hAnsiTheme="minorEastAsia"/>
                <w:kern w:val="0"/>
                <w:sz w:val="24"/>
                <w:szCs w:val="24"/>
              </w:rPr>
            </w:pPr>
          </w:p>
        </w:tc>
        <w:tc>
          <w:tcPr>
            <w:tcW w:w="2200" w:type="dxa"/>
            <w:vAlign w:val="center"/>
          </w:tcPr>
          <w:p>
            <w:pPr>
              <w:widowControl/>
              <w:spacing w:line="300" w:lineRule="exact"/>
              <w:rPr>
                <w:rFonts w:ascii="仿宋_GB2312" w:eastAsia="仿宋_GB2312" w:cs="宋体" w:hAnsiTheme="minorEastAsia"/>
                <w:kern w:val="0"/>
                <w:sz w:val="24"/>
                <w:szCs w:val="24"/>
                <w:highlight w:val="yellow"/>
              </w:rPr>
            </w:pPr>
            <w:r>
              <w:rPr>
                <w:rFonts w:hint="eastAsia" w:ascii="仿宋_GB2312" w:eastAsia="仿宋_GB2312" w:cs="宋体" w:hAnsiTheme="minorEastAsia"/>
                <w:kern w:val="0"/>
                <w:sz w:val="24"/>
                <w:szCs w:val="24"/>
              </w:rPr>
              <w:t>经责令停止建设、恢复原状，未停止建设的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处三十万元以上（不包括本数）四十万元以下罚款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1434"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此项目是指位于内河四级以上航道或者通航5000吨级以上海轮航道的建设项目</w:t>
            </w:r>
          </w:p>
        </w:tc>
        <w:tc>
          <w:tcPr>
            <w:tcW w:w="2200" w:type="dxa"/>
            <w:vAlign w:val="center"/>
          </w:tcPr>
          <w:p>
            <w:pPr>
              <w:widowControl/>
              <w:spacing w:line="300" w:lineRule="exact"/>
              <w:rPr>
                <w:rFonts w:ascii="仿宋_GB2312" w:eastAsia="仿宋_GB2312" w:cs="宋体" w:hAnsiTheme="minorEastAsia"/>
                <w:kern w:val="0"/>
                <w:sz w:val="24"/>
                <w:szCs w:val="24"/>
                <w:highlight w:val="yellow"/>
              </w:rPr>
            </w:pPr>
            <w:r>
              <w:rPr>
                <w:rFonts w:hint="eastAsia" w:ascii="仿宋_GB2312" w:eastAsia="仿宋_GB2312" w:cs="宋体" w:hAnsiTheme="minorEastAsia"/>
                <w:kern w:val="0"/>
                <w:sz w:val="24"/>
                <w:szCs w:val="24"/>
              </w:rPr>
              <w:t>经责令停止建设、恢复原状，停止建设并恢复原状的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处二十五万元以上（不包括本数）三十万元以下罚款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1434" w:type="dxa"/>
            <w:vMerge w:val="continue"/>
            <w:vAlign w:val="center"/>
          </w:tcPr>
          <w:p>
            <w:pPr>
              <w:widowControl/>
              <w:spacing w:line="300" w:lineRule="exact"/>
              <w:rPr>
                <w:rFonts w:ascii="仿宋_GB2312" w:eastAsia="仿宋_GB2312" w:cs="宋体" w:hAnsiTheme="minorEastAsia"/>
                <w:kern w:val="0"/>
                <w:sz w:val="24"/>
                <w:szCs w:val="24"/>
              </w:rPr>
            </w:pPr>
          </w:p>
        </w:tc>
        <w:tc>
          <w:tcPr>
            <w:tcW w:w="2200" w:type="dxa"/>
            <w:vAlign w:val="center"/>
          </w:tcPr>
          <w:p>
            <w:pPr>
              <w:widowControl/>
              <w:spacing w:line="300" w:lineRule="exact"/>
              <w:rPr>
                <w:rFonts w:ascii="仿宋_GB2312" w:eastAsia="仿宋_GB2312" w:cs="宋体" w:hAnsiTheme="minorEastAsia"/>
                <w:kern w:val="0"/>
                <w:sz w:val="24"/>
                <w:szCs w:val="24"/>
                <w:highlight w:val="yellow"/>
              </w:rPr>
            </w:pPr>
            <w:r>
              <w:rPr>
                <w:rFonts w:hint="eastAsia" w:ascii="仿宋_GB2312" w:eastAsia="仿宋_GB2312" w:cs="宋体" w:hAnsiTheme="minorEastAsia"/>
                <w:kern w:val="0"/>
                <w:sz w:val="24"/>
                <w:szCs w:val="24"/>
              </w:rPr>
              <w:t>经责令停止建设、恢复原状，停止建设但未恢复原状的</w:t>
            </w:r>
          </w:p>
        </w:tc>
        <w:tc>
          <w:tcPr>
            <w:tcW w:w="1746" w:type="dxa"/>
            <w:vAlign w:val="center"/>
          </w:tcPr>
          <w:p>
            <w:pPr>
              <w:widowControl/>
              <w:spacing w:line="300" w:lineRule="exact"/>
              <w:rPr>
                <w:rFonts w:ascii="仿宋_GB2312" w:eastAsia="仿宋_GB2312" w:cs="宋体" w:hAnsiTheme="minorEastAsia"/>
                <w:kern w:val="0"/>
                <w:sz w:val="24"/>
                <w:szCs w:val="24"/>
                <w:highlight w:val="yellow"/>
              </w:rPr>
            </w:pPr>
            <w:r>
              <w:rPr>
                <w:rFonts w:hint="eastAsia" w:ascii="仿宋_GB2312" w:eastAsia="仿宋_GB2312" w:cs="宋体" w:hAnsiTheme="minorEastAsia"/>
                <w:kern w:val="0"/>
                <w:sz w:val="24"/>
                <w:szCs w:val="24"/>
              </w:rPr>
              <w:t>处三十万元以上（不包括本数）四十万元以下罚款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1434" w:type="dxa"/>
            <w:vMerge w:val="continue"/>
            <w:vAlign w:val="center"/>
          </w:tcPr>
          <w:p>
            <w:pPr>
              <w:widowControl/>
              <w:spacing w:line="300" w:lineRule="exact"/>
              <w:rPr>
                <w:rFonts w:ascii="仿宋_GB2312" w:eastAsia="仿宋_GB2312" w:cs="宋体" w:hAnsiTheme="minorEastAsia"/>
                <w:kern w:val="0"/>
                <w:sz w:val="24"/>
                <w:szCs w:val="24"/>
              </w:rPr>
            </w:pPr>
          </w:p>
        </w:tc>
        <w:tc>
          <w:tcPr>
            <w:tcW w:w="2200" w:type="dxa"/>
            <w:vAlign w:val="center"/>
          </w:tcPr>
          <w:p>
            <w:pPr>
              <w:widowControl/>
              <w:spacing w:line="300" w:lineRule="exact"/>
              <w:rPr>
                <w:rFonts w:ascii="仿宋_GB2312" w:eastAsia="仿宋_GB2312" w:cs="宋体" w:hAnsiTheme="minorEastAsia"/>
                <w:kern w:val="0"/>
                <w:sz w:val="24"/>
                <w:szCs w:val="24"/>
                <w:highlight w:val="yellow"/>
              </w:rPr>
            </w:pPr>
            <w:r>
              <w:rPr>
                <w:rFonts w:hint="eastAsia" w:ascii="仿宋_GB2312" w:eastAsia="仿宋_GB2312" w:cs="宋体" w:hAnsiTheme="minorEastAsia"/>
                <w:kern w:val="0"/>
                <w:sz w:val="24"/>
                <w:szCs w:val="24"/>
              </w:rPr>
              <w:t>经责令停止建设、恢复原状，未停止建设的</w:t>
            </w:r>
          </w:p>
        </w:tc>
        <w:tc>
          <w:tcPr>
            <w:tcW w:w="1746" w:type="dxa"/>
            <w:vAlign w:val="center"/>
          </w:tcPr>
          <w:p>
            <w:pPr>
              <w:widowControl/>
              <w:spacing w:line="300" w:lineRule="exact"/>
              <w:rPr>
                <w:rFonts w:ascii="仿宋_GB2312" w:eastAsia="仿宋_GB2312" w:cs="宋体" w:hAnsiTheme="minorEastAsia"/>
                <w:kern w:val="0"/>
                <w:sz w:val="24"/>
                <w:szCs w:val="24"/>
                <w:highlight w:val="yellow"/>
              </w:rPr>
            </w:pPr>
            <w:r>
              <w:rPr>
                <w:rFonts w:hint="eastAsia" w:ascii="仿宋_GB2312" w:eastAsia="仿宋_GB2312" w:cs="宋体" w:hAnsiTheme="minorEastAsia"/>
                <w:kern w:val="0"/>
                <w:sz w:val="24"/>
                <w:szCs w:val="24"/>
              </w:rPr>
              <w:t>处四十万元以上（不包括本数）五十万元以下罚款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90" w:type="dxa"/>
            <w:vMerge w:val="restart"/>
            <w:vAlign w:val="center"/>
          </w:tcPr>
          <w:p>
            <w:pPr>
              <w:widowControl/>
              <w:spacing w:line="300" w:lineRule="exact"/>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3</w:t>
            </w:r>
          </w:p>
        </w:tc>
        <w:tc>
          <w:tcPr>
            <w:tcW w:w="122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未及时清除影响航道通航条件的临时设施及其残留物</w:t>
            </w:r>
          </w:p>
        </w:tc>
        <w:tc>
          <w:tcPr>
            <w:tcW w:w="439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《中华人民共和国航道法》第三十二条</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与航道有关的工程竣工验收前，建设单位应当及时清除影响航道通航条件的临时设施及其残留物。</w:t>
            </w:r>
          </w:p>
        </w:tc>
        <w:tc>
          <w:tcPr>
            <w:tcW w:w="373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《中华人民共和国航道法》第四十条</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涉及内河五级以下航道或者通航不足5000吨级海轮航道，经责令限期清除，在整改期限内清除的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涉及内河四级以上航道或者通航5000吨级以上海轮航道，经责令限期清除，在整改期限内清除的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处五千元以上（不包括本数）二万元以下罚款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涉及内河五级以下航道或者通航不足5000吨级海轮航道，经责令限期清除，逾期仍未清除的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处三万元以上十万元以下罚款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涉及内河四级以上航道或者通航5000吨级以上海轮航道，经责令限期清除，逾期仍未清除的</w:t>
            </w:r>
          </w:p>
        </w:tc>
        <w:tc>
          <w:tcPr>
            <w:tcW w:w="1746" w:type="dxa"/>
            <w:vAlign w:val="center"/>
          </w:tcPr>
          <w:p>
            <w:pPr>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处十万元以上（不包括本数）二十万元以下罚款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790" w:type="dxa"/>
            <w:vMerge w:val="restart"/>
            <w:vAlign w:val="center"/>
          </w:tcPr>
          <w:p>
            <w:pPr>
              <w:widowControl/>
              <w:spacing w:line="300" w:lineRule="exact"/>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4</w:t>
            </w:r>
          </w:p>
        </w:tc>
        <w:tc>
          <w:tcPr>
            <w:tcW w:w="122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在通航水域上建设桥梁等建筑物，建设单位未按照规定设置航标等设施</w:t>
            </w:r>
          </w:p>
        </w:tc>
        <w:tc>
          <w:tcPr>
            <w:tcW w:w="439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《中华人民共和国航道法》第三十四条第一款</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在通航水域上建设桥梁等建筑物，建设单位应当按照国家有关规定和技术要求设置航标等设施，并承担相应费用。</w:t>
            </w:r>
          </w:p>
        </w:tc>
        <w:tc>
          <w:tcPr>
            <w:tcW w:w="373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《中华人民共和国航道法》第四十一条</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在通航水域上建设桥梁等建筑物，建设单位未按照规定设置航标等设施的，由负责航道管理的部门或者海事管理机构责令改正，处五万元以下罚款。</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涉及内河五级以下航道或者通航不足5000吨级海轮航道，经责令改正，未按要求改正的</w:t>
            </w:r>
          </w:p>
        </w:tc>
        <w:tc>
          <w:tcPr>
            <w:tcW w:w="1746"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处一万元以上（不包括本数）二万元以下罚款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涉及内河四级以上航道或者通航5000吨级以上海轮航道，经责令改正，按要求改正的</w:t>
            </w:r>
          </w:p>
        </w:tc>
        <w:tc>
          <w:tcPr>
            <w:tcW w:w="1746" w:type="dxa"/>
            <w:vMerge w:val="continue"/>
            <w:vAlign w:val="center"/>
          </w:tcPr>
          <w:p>
            <w:pPr>
              <w:widowControl/>
              <w:spacing w:line="300" w:lineRule="exact"/>
              <w:rPr>
                <w:rFonts w:ascii="仿宋_GB2312" w:eastAsia="仿宋_GB2312" w:cs="宋体"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涉及内河四级以上航道或者通航5000吨级以上海轮航道，经责令改正，未按要求改正的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处二万元以上（不包括本数）五万元以下罚款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90" w:type="dxa"/>
            <w:vMerge w:val="restart"/>
            <w:vAlign w:val="center"/>
          </w:tcPr>
          <w:p>
            <w:pPr>
              <w:widowControl/>
              <w:spacing w:line="300" w:lineRule="exact"/>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5</w:t>
            </w:r>
          </w:p>
        </w:tc>
        <w:tc>
          <w:tcPr>
            <w:tcW w:w="122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在航道内设置渔具或者水产养殖设施</w:t>
            </w:r>
          </w:p>
        </w:tc>
        <w:tc>
          <w:tcPr>
            <w:tcW w:w="439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《中华人民共和国航道法》第三十五条第（一）项</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禁止下列危害航道通航安全的行为：</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（一）在航道内设置渔具或者水产养殖设施的；</w:t>
            </w:r>
          </w:p>
        </w:tc>
        <w:tc>
          <w:tcPr>
            <w:tcW w:w="373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《中华人民共和国航道法》第四十二条第（一）项</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违反本法规定，有下列行为之一的，由负责航道管理的部门责令改正，对单位处五万元以下罚款，对个人处二千元以下罚款；造成损失的，依法承担赔偿责任：</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（一）在航道内设置渔具或者水产养殖设施的；</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对单位处五千元以下罚款，对个人处二百元以下罚款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涉及内河五级以下航道或者通航不足5000吨级海轮航道，经责令改正，未按要求改正的</w:t>
            </w:r>
          </w:p>
        </w:tc>
        <w:tc>
          <w:tcPr>
            <w:tcW w:w="1746"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对单位处五千元以上（不包括本数）二万元以下罚款，对个人处二百元以上（不包括本数）一千元以下罚款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涉及内河四级以上航道或者通航5000吨级以上海轮航道，经责令改正，按要求改正的</w:t>
            </w:r>
          </w:p>
        </w:tc>
        <w:tc>
          <w:tcPr>
            <w:tcW w:w="1746" w:type="dxa"/>
            <w:vMerge w:val="continue"/>
            <w:vAlign w:val="center"/>
          </w:tcPr>
          <w:p>
            <w:pPr>
              <w:widowControl/>
              <w:spacing w:line="300" w:lineRule="exact"/>
              <w:rPr>
                <w:rFonts w:ascii="仿宋_GB2312" w:eastAsia="仿宋_GB2312" w:cs="宋体"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涉及内河四级以上航道或者通航5000吨级以上海轮航道，经责令改正，未按要求改正的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对单位处二万元以上（不包括本数）五万元以下罚款，对个人处一千元以上（不包括本数）二千元以下罚款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90" w:type="dxa"/>
            <w:vMerge w:val="restart"/>
            <w:vAlign w:val="center"/>
          </w:tcPr>
          <w:p>
            <w:pPr>
              <w:widowControl/>
              <w:spacing w:line="300" w:lineRule="exact"/>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6</w:t>
            </w:r>
          </w:p>
        </w:tc>
        <w:tc>
          <w:tcPr>
            <w:tcW w:w="122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在航道和航道保护范围内倾倒砂石、泥土、垃圾以及其他废弃物</w:t>
            </w:r>
          </w:p>
        </w:tc>
        <w:tc>
          <w:tcPr>
            <w:tcW w:w="439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《中华人民共和国航道法》第三十五条第（二）项</w:t>
            </w:r>
          </w:p>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禁止下列危害航道通航安全的行为：</w:t>
            </w:r>
          </w:p>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（二）在航道和航道保护范围内倾倒砂石、泥土、垃圾以及其他废弃物的；</w:t>
            </w:r>
          </w:p>
        </w:tc>
        <w:tc>
          <w:tcPr>
            <w:tcW w:w="373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《中华人民共和国航道法》第四十二条第（二）项</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违反本法规定，有下列行为之一的，由负责航道管理的部门责令改正，对单位处五万元以下罚款，对个人处二千元以下罚款；造成损失的，依法承担赔偿责任：</w:t>
            </w:r>
          </w:p>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（二）在航道和航道保护范围内倾倒砂石、泥土、垃圾以及其他废弃物的；</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涉及内河五级以下航道或者通航不足5000吨级海轮航道，第一次被查获的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责令改正，对单位处五千元以下罚款，对个人处二百元以下罚款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涉及内河五级以下航道或者通航不足5000吨级海轮航道，第二次以上被查获的</w:t>
            </w:r>
          </w:p>
        </w:tc>
        <w:tc>
          <w:tcPr>
            <w:tcW w:w="1746"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责令改正，对单位处五千元以上（不包括本数）二万元以下罚款，对个人处二百元以上（不包括本数）一千元以下罚款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涉及内河四级以上航道或者通航5000吨级以上海轮航道，第一次被查获的</w:t>
            </w:r>
          </w:p>
        </w:tc>
        <w:tc>
          <w:tcPr>
            <w:tcW w:w="1746" w:type="dxa"/>
            <w:vMerge w:val="continue"/>
            <w:vAlign w:val="center"/>
          </w:tcPr>
          <w:p>
            <w:pPr>
              <w:widowControl/>
              <w:spacing w:line="300" w:lineRule="exact"/>
              <w:rPr>
                <w:rFonts w:ascii="仿宋_GB2312" w:eastAsia="仿宋_GB2312" w:cs="宋体"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highlight w:val="yellow"/>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涉及内河四级以上航道或者通航5000吨级以上海轮航道，第二次以上被查获的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责令改正，对单位处二万元以上（不包括本数）五万元以下罚款，对个人处一千元以上（不包括本数）二千元以下罚款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90" w:type="dxa"/>
            <w:vMerge w:val="restart"/>
            <w:vAlign w:val="center"/>
          </w:tcPr>
          <w:p>
            <w:pPr>
              <w:widowControl/>
              <w:spacing w:line="300" w:lineRule="exact"/>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7</w:t>
            </w:r>
          </w:p>
        </w:tc>
        <w:tc>
          <w:tcPr>
            <w:tcW w:w="122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在通航建筑物及其引航道和船舶调度区内从事货物装卸、水上加油、船舶维修、捕鱼等，影响通航建筑物正常运行</w:t>
            </w:r>
          </w:p>
        </w:tc>
        <w:tc>
          <w:tcPr>
            <w:tcW w:w="439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《中华人民共和国航道法》第三十五条第（三）项</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禁止下列危害航道通航安全的行为：</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（三）在通航建筑物及其引航道和船舶调度区内从事货物装卸、水上加油、船舶维修、捕鱼等，影响通航建筑物正常运行的；</w:t>
            </w:r>
          </w:p>
        </w:tc>
        <w:tc>
          <w:tcPr>
            <w:tcW w:w="373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《中华人民共和国航道法》第四十二条第（三）项</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违反本法规定，有下列行为之一的，由负责航道管理的部门责令改正，对单位处五万元以下罚款，对个人处二千元以下罚款；造成损失的，依法承担赔偿责任：</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（三）在通航建筑物及其引航道和船舶调度区内从事货物装卸、水上加油、船舶维修、捕鱼等，影响通航建筑物正常运行的；</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涉及内河五级以下航道或者通航不足5000吨级海轮航道，第一次被查获的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责令改正，对单位处五千元以下罚款，对个人处二百元以下罚款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涉及内河五级以下航道或者通航不足5000吨级海轮航道，第二次以上被查获的</w:t>
            </w:r>
          </w:p>
        </w:tc>
        <w:tc>
          <w:tcPr>
            <w:tcW w:w="1746"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责令改正，对单位处五千元以上（不包括本数）二万元以下罚款，对个人处二百元以上（不包括本数）一千元以下罚款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涉及内河四级以上航道或者通航5000吨级以上海轮航道，第一次被查获的</w:t>
            </w:r>
          </w:p>
        </w:tc>
        <w:tc>
          <w:tcPr>
            <w:tcW w:w="1746" w:type="dxa"/>
            <w:vMerge w:val="continue"/>
            <w:vAlign w:val="center"/>
          </w:tcPr>
          <w:p>
            <w:pPr>
              <w:widowControl/>
              <w:spacing w:line="300" w:lineRule="exact"/>
              <w:rPr>
                <w:rFonts w:ascii="仿宋_GB2312" w:eastAsia="仿宋_GB2312" w:cs="宋体"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涉及内河四级以上航道或者通航5000吨级以上海轮航道，第二次以上被查获的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责令改正，对单位处二万元以上（不包括本数）五万元以下罚款，对个人处一千元以上（不包括本数）二千元以下罚款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790" w:type="dxa"/>
            <w:vMerge w:val="restart"/>
            <w:vAlign w:val="center"/>
          </w:tcPr>
          <w:p>
            <w:pPr>
              <w:widowControl/>
              <w:spacing w:line="300" w:lineRule="exact"/>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8</w:t>
            </w:r>
          </w:p>
        </w:tc>
        <w:tc>
          <w:tcPr>
            <w:tcW w:w="122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危害航道设施安全</w:t>
            </w:r>
          </w:p>
        </w:tc>
        <w:tc>
          <w:tcPr>
            <w:tcW w:w="439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《中华人民共和国航道法》第三十五条第（四）项</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禁止下列危害航道通航安全的行为：</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（四）危害航道设施安全的；</w:t>
            </w:r>
          </w:p>
        </w:tc>
        <w:tc>
          <w:tcPr>
            <w:tcW w:w="373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《中华人民共和国航道法》第四十二条第（四）项</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违反本法规定，有下列行为之一的，由负责航道管理的部门责令改正，对单位处五万元以下罚款，对个人处二千元以下罚款；造成损失的，依法承担赔偿责任：</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（四）危害航道设施安全的；</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对单位处五千元以下罚款，对个人处二百元以下罚款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涉及内河五级以下航道或者通航不足5000吨级海轮航道，经责令改正，未按要求改正的</w:t>
            </w:r>
          </w:p>
        </w:tc>
        <w:tc>
          <w:tcPr>
            <w:tcW w:w="1746"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对单位处五千元以上（不包括本数）二万元以下罚款，对个人处二百元以上（不包括本数）一千元以下罚款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涉及内河四级以上航道或者通航5000吨级以上海轮航道，经责令改正，按要求改正的</w:t>
            </w:r>
          </w:p>
        </w:tc>
        <w:tc>
          <w:tcPr>
            <w:tcW w:w="1746" w:type="dxa"/>
            <w:vMerge w:val="continue"/>
            <w:vAlign w:val="center"/>
          </w:tcPr>
          <w:p>
            <w:pPr>
              <w:widowControl/>
              <w:spacing w:line="300" w:lineRule="exact"/>
              <w:rPr>
                <w:rFonts w:ascii="仿宋_GB2312" w:eastAsia="仿宋_GB2312" w:cs="宋体"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涉及内河四级以上航道或者通航5000吨级以上海轮航道，经责令改正，未按要求改正的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对单位处二万元以上（不包括本数）五万元以下罚款，对个人处一千元以上（不包括本数）二千元以下罚款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0" w:type="dxa"/>
            <w:vMerge w:val="restart"/>
            <w:vAlign w:val="center"/>
          </w:tcPr>
          <w:p>
            <w:pPr>
              <w:widowControl/>
              <w:spacing w:line="300" w:lineRule="exact"/>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9</w:t>
            </w:r>
          </w:p>
        </w:tc>
        <w:tc>
          <w:tcPr>
            <w:tcW w:w="122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其他危害航道通航安全的行为</w:t>
            </w:r>
          </w:p>
        </w:tc>
        <w:tc>
          <w:tcPr>
            <w:tcW w:w="439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《中华人民共和国航道法》第三十五条第（五）项</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禁止下列危害航道通航安全的行为：</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（五）其他危害航道通航安全的行为。</w:t>
            </w:r>
          </w:p>
        </w:tc>
        <w:tc>
          <w:tcPr>
            <w:tcW w:w="373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《中华人民共和国航道法》第四十二条第（五）项</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违反本法规定，有下列行为之一的，由负责航道管理的部门责令改正，对单位处五万元以下罚款，对个人处二千元以下罚款；造成损失的，依法承担赔偿责任：</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（五）其他危害航道通航安全的行为。</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对单位处五千元以下罚款，对个人处二百元以下罚款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涉及内河五级以下航道或者通航不足5000吨级海轮航道，经责令改正，未按要求改正的</w:t>
            </w:r>
          </w:p>
        </w:tc>
        <w:tc>
          <w:tcPr>
            <w:tcW w:w="1746"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对单位处五千元以上（不包括本数）二万元以下罚款，对个人处二百元以上（不包括本数）一千元以下罚款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涉及内河四级以上航道或者通航5000吨级以上海轮航道，经责令改正，按要求改正的</w:t>
            </w:r>
          </w:p>
        </w:tc>
        <w:tc>
          <w:tcPr>
            <w:tcW w:w="1746" w:type="dxa"/>
            <w:vMerge w:val="continue"/>
            <w:vAlign w:val="center"/>
          </w:tcPr>
          <w:p>
            <w:pPr>
              <w:widowControl/>
              <w:spacing w:line="300" w:lineRule="exact"/>
              <w:rPr>
                <w:rFonts w:ascii="仿宋_GB2312" w:eastAsia="仿宋_GB2312" w:cs="宋体"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涉及内河四级以上航道或者通航5000吨级以上海轮航道，经责令改正，未按要求改正的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对单位处二万元以上（不包括本数）五万元以下罚款，对个人处一千元以上（不包括本数）二千元以下罚款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790" w:type="dxa"/>
            <w:vMerge w:val="restart"/>
            <w:vAlign w:val="center"/>
          </w:tcPr>
          <w:p>
            <w:pPr>
              <w:widowControl/>
              <w:spacing w:line="300" w:lineRule="exact"/>
              <w:jc w:val="center"/>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10</w:t>
            </w:r>
          </w:p>
        </w:tc>
        <w:tc>
          <w:tcPr>
            <w:tcW w:w="122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在航道和航道保护范围内采砂，损害航道通航条件</w:t>
            </w:r>
          </w:p>
        </w:tc>
        <w:tc>
          <w:tcPr>
            <w:tcW w:w="439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《中华人民共和国航道法》第三十六条第二款</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在航道和航道保护范围内采砂，不得损害航道通航条件。</w:t>
            </w:r>
          </w:p>
        </w:tc>
        <w:tc>
          <w:tcPr>
            <w:tcW w:w="3737"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《中华人民共和国航道法》第四十三条第二款</w:t>
            </w:r>
          </w:p>
          <w:p>
            <w:pPr>
              <w:widowControl/>
              <w:spacing w:line="300" w:lineRule="exact"/>
              <w:ind w:firstLine="480" w:firstLineChars="200"/>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涉及内河五级以下航道或者通航不足5000吨级海轮航道，经责令停止违法行为，立即停止的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没收违法所得，处五万元以上十万元以下罚款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highlight w:val="yellow"/>
              </w:rPr>
            </w:pPr>
            <w:r>
              <w:rPr>
                <w:rFonts w:hint="eastAsia" w:ascii="仿宋_GB2312" w:eastAsia="仿宋_GB2312" w:cs="宋体" w:hAnsiTheme="minorEastAsia"/>
                <w:kern w:val="0"/>
                <w:sz w:val="24"/>
                <w:szCs w:val="24"/>
              </w:rPr>
              <w:t>涉及内河五级以下航道或者通航不足5000吨级海轮航道，经责令停止违法行为，未立即停止的</w:t>
            </w:r>
          </w:p>
        </w:tc>
        <w:tc>
          <w:tcPr>
            <w:tcW w:w="1746"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没收违法所得，扣押非法采砂船舶，处十万元以上（不包括本数）二十万元以下罚款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highlight w:val="yellow"/>
              </w:rPr>
            </w:pPr>
            <w:r>
              <w:rPr>
                <w:rFonts w:hint="eastAsia" w:ascii="仿宋_GB2312" w:eastAsia="仿宋_GB2312" w:cs="宋体" w:hAnsiTheme="minorEastAsia"/>
                <w:kern w:val="0"/>
                <w:sz w:val="24"/>
                <w:szCs w:val="24"/>
              </w:rPr>
              <w:t>涉及内河四级以上航道或者通航5000吨级以上海轮航道，经责令停止违法行为，立即停止的</w:t>
            </w:r>
          </w:p>
        </w:tc>
        <w:tc>
          <w:tcPr>
            <w:tcW w:w="1746" w:type="dxa"/>
            <w:vMerge w:val="continue"/>
            <w:vAlign w:val="center"/>
          </w:tcPr>
          <w:p>
            <w:pPr>
              <w:widowControl/>
              <w:spacing w:line="300" w:lineRule="exact"/>
              <w:rPr>
                <w:rFonts w:ascii="仿宋_GB2312" w:eastAsia="仿宋_GB2312" w:cs="宋体" w:hAnsiTheme="minorEastAsia"/>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90" w:type="dxa"/>
            <w:vMerge w:val="continue"/>
            <w:vAlign w:val="center"/>
          </w:tcPr>
          <w:p>
            <w:pPr>
              <w:widowControl/>
              <w:spacing w:line="300" w:lineRule="exact"/>
              <w:jc w:val="center"/>
              <w:rPr>
                <w:rFonts w:ascii="仿宋_GB2312" w:eastAsia="仿宋_GB2312" w:cs="宋体" w:hAnsiTheme="minorEastAsia"/>
                <w:kern w:val="0"/>
                <w:sz w:val="24"/>
                <w:szCs w:val="24"/>
              </w:rPr>
            </w:pPr>
          </w:p>
        </w:tc>
        <w:tc>
          <w:tcPr>
            <w:tcW w:w="1227" w:type="dxa"/>
            <w:vMerge w:val="continue"/>
            <w:vAlign w:val="center"/>
          </w:tcPr>
          <w:p>
            <w:pPr>
              <w:widowControl/>
              <w:spacing w:line="300" w:lineRule="exact"/>
              <w:rPr>
                <w:rFonts w:ascii="仿宋_GB2312" w:eastAsia="仿宋_GB2312" w:cs="宋体" w:hAnsiTheme="minorEastAsia"/>
                <w:kern w:val="0"/>
                <w:sz w:val="24"/>
                <w:szCs w:val="24"/>
              </w:rPr>
            </w:pPr>
          </w:p>
        </w:tc>
        <w:tc>
          <w:tcPr>
            <w:tcW w:w="4397" w:type="dxa"/>
            <w:vMerge w:val="continue"/>
            <w:vAlign w:val="center"/>
          </w:tcPr>
          <w:p>
            <w:pPr>
              <w:widowControl/>
              <w:spacing w:line="300" w:lineRule="exact"/>
              <w:rPr>
                <w:rFonts w:ascii="仿宋_GB2312" w:eastAsia="仿宋_GB2312" w:cs="宋体" w:hAnsiTheme="minorEastAsia"/>
                <w:kern w:val="0"/>
                <w:sz w:val="24"/>
                <w:szCs w:val="24"/>
              </w:rPr>
            </w:pPr>
          </w:p>
        </w:tc>
        <w:tc>
          <w:tcPr>
            <w:tcW w:w="3737" w:type="dxa"/>
            <w:vMerge w:val="continue"/>
            <w:vAlign w:val="center"/>
          </w:tcPr>
          <w:p>
            <w:pPr>
              <w:widowControl/>
              <w:spacing w:line="300" w:lineRule="exact"/>
              <w:rPr>
                <w:rFonts w:ascii="仿宋_GB2312" w:eastAsia="仿宋_GB2312" w:cs="宋体" w:hAnsiTheme="minorEastAsia"/>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涉及内河四级以上航道或者通航5000吨级以上海轮航道，经责令停止违法行为，未立即停止的</w:t>
            </w:r>
          </w:p>
        </w:tc>
        <w:tc>
          <w:tcPr>
            <w:tcW w:w="1746" w:type="dxa"/>
            <w:vAlign w:val="center"/>
          </w:tcPr>
          <w:p>
            <w:pPr>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没收违法所得，没收非法采砂船舶，处二十万元以上（不包括本数）三十万元以下罚款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90" w:type="dxa"/>
            <w:vMerge w:val="restart"/>
            <w:vAlign w:val="center"/>
          </w:tcPr>
          <w:p>
            <w:pPr>
              <w:widowControl/>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11</w:t>
            </w:r>
          </w:p>
        </w:tc>
        <w:tc>
          <w:tcPr>
            <w:tcW w:w="122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触碰航标不报告</w:t>
            </w:r>
          </w:p>
        </w:tc>
        <w:tc>
          <w:tcPr>
            <w:tcW w:w="439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《中华人民共和国航标条例》第十四条第二款</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船舶触碰航标，应当立即向航标管理机关报告。</w:t>
            </w:r>
          </w:p>
        </w:tc>
        <w:tc>
          <w:tcPr>
            <w:tcW w:w="373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《中华人民共和国航标条例》第二十一条</w:t>
            </w:r>
          </w:p>
          <w:p>
            <w:pPr>
              <w:widowControl/>
              <w:spacing w:line="300" w:lineRule="exact"/>
              <w:ind w:firstLine="480" w:firstLineChars="200"/>
              <w:rPr>
                <w:rFonts w:ascii="仿宋_GB2312" w:eastAsia="仿宋_GB2312" w:cs="宋体"/>
                <w:kern w:val="0"/>
                <w:sz w:val="24"/>
                <w:szCs w:val="24"/>
              </w:rPr>
            </w:pPr>
            <w:r>
              <w:rPr>
                <w:rFonts w:hint="eastAsia" w:ascii="仿宋_GB2312" w:eastAsia="仿宋_GB2312" w:cs="宋体"/>
                <w:kern w:val="0"/>
                <w:sz w:val="24"/>
                <w:szCs w:val="24"/>
              </w:rPr>
              <w:t>船舶违反本条例第十四条第二款的规定，触碰航标不报告的，航标管理机关可以根据情节处以2万元以下的罚款；造成损失的，应当依法赔偿。</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涉及内河五级以下航道或者通航不足5000吨级海轮航道，未造成损失的</w:t>
            </w:r>
          </w:p>
        </w:tc>
        <w:tc>
          <w:tcPr>
            <w:tcW w:w="1746" w:type="dxa"/>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涉及内河五级以下航道或者通航不足5000吨级海轮航道，造成损失的</w:t>
            </w:r>
          </w:p>
        </w:tc>
        <w:tc>
          <w:tcPr>
            <w:tcW w:w="1746"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处五千元以上（不包括本数）一万元以下罚款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涉及内河四级以上航道或者通航5000吨级以上海轮航道，未造成损失的</w:t>
            </w:r>
          </w:p>
        </w:tc>
        <w:tc>
          <w:tcPr>
            <w:tcW w:w="1746" w:type="dxa"/>
            <w:vMerge w:val="continue"/>
            <w:vAlign w:val="center"/>
          </w:tcPr>
          <w:p>
            <w:pPr>
              <w:widowControl/>
              <w:spacing w:line="300" w:lineRule="exact"/>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涉及内河四级以上航道或者通航5000吨级以上海轮航道，造成损失的</w:t>
            </w:r>
          </w:p>
        </w:tc>
        <w:tc>
          <w:tcPr>
            <w:tcW w:w="1746" w:type="dxa"/>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处一万元以上</w:t>
            </w:r>
            <w:r>
              <w:rPr>
                <w:rFonts w:hint="eastAsia" w:ascii="仿宋_GB2312" w:eastAsia="仿宋_GB2312" w:cs="宋体" w:hAnsiTheme="minorEastAsia"/>
                <w:kern w:val="0"/>
                <w:sz w:val="24"/>
                <w:szCs w:val="24"/>
              </w:rPr>
              <w:t>（不包括本数）</w:t>
            </w:r>
            <w:r>
              <w:rPr>
                <w:rFonts w:hint="eastAsia" w:ascii="仿宋_GB2312" w:eastAsia="仿宋_GB2312" w:cs="宋体"/>
                <w:kern w:val="0"/>
                <w:sz w:val="24"/>
                <w:szCs w:val="24"/>
              </w:rPr>
              <w:t>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790" w:type="dxa"/>
            <w:vMerge w:val="restart"/>
            <w:vAlign w:val="center"/>
          </w:tcPr>
          <w:p>
            <w:pPr>
              <w:widowControl/>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12</w:t>
            </w:r>
          </w:p>
        </w:tc>
        <w:tc>
          <w:tcPr>
            <w:tcW w:w="122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危害航标及其辅助设施或者影响航标工作效能</w:t>
            </w:r>
          </w:p>
        </w:tc>
        <w:tc>
          <w:tcPr>
            <w:tcW w:w="439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《中华人民共和国航标条例》第十五条、第十六条、第十七条</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第十五条　禁止下列危害航标的行为：</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（一）盗窃、哄抢或者以其他方式非法侵占航标、航标器材；</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（二）非法移动、攀登或者涂抹航标；</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（三）向航标射击或者投掷物品；</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（四）在航标上攀架物品，拴系牲畜、船只、渔业捕捞器具、爆炸物品等；</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（五）损坏航标的其他行为。</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第十六条　禁止破坏航标辅助设施的行为。</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前款所称航标辅助设施，是指为航标及其管理人员提供能源、水和其他所需物资而设置的各类设施，包括航标场地、直升机平台、登陆点、码头、趸船、水塔、储水池、水井、油（水）泵房、电力设施、业务用房以及专用道路、仓库等。</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第十七条　禁止下列影响航标工作效能的行为：</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（一）在航标周围20米内或者在埋有航标地下管道、线路的地面钻孔、挖坑、采掘土石、堆放物品或者进行明火作业；</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（二）在航标周围150米内进行爆破作业；</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（三）在航标周围500米内烧荒；</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（四）在无线电导航设施附近设置、使用影响导航设施工作效能的高频电磁辐射装置、设备；</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（五）在航标架空线路上附挂其他电力、通信线路；</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（六）在航标周围抛锚、拖锚、捕鱼或者养殖水生物；</w:t>
            </w:r>
          </w:p>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（七）影响航标工作效能的其他行为。</w:t>
            </w:r>
          </w:p>
        </w:tc>
        <w:tc>
          <w:tcPr>
            <w:tcW w:w="373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《中华人民共和国航标条例》第二十二条</w:t>
            </w:r>
          </w:p>
          <w:p>
            <w:pPr>
              <w:widowControl/>
              <w:spacing w:line="300" w:lineRule="exact"/>
              <w:ind w:firstLine="480" w:firstLineChars="200"/>
              <w:rPr>
                <w:rFonts w:ascii="仿宋_GB2312" w:eastAsia="仿宋_GB2312" w:cs="宋体"/>
                <w:kern w:val="0"/>
                <w:sz w:val="24"/>
                <w:szCs w:val="24"/>
              </w:rPr>
            </w:pPr>
            <w:r>
              <w:rPr>
                <w:rFonts w:hint="eastAsia" w:ascii="仿宋_GB2312" w:eastAsia="仿宋_GB2312" w:cs="宋体"/>
                <w:kern w:val="0"/>
                <w:sz w:val="24"/>
                <w:szCs w:val="24"/>
              </w:rPr>
              <w:t>违反本条例第十五条、第十六条、第十七条的规定，危害航标及其辅助设施或者影响航标工作效能的，由航标管理机关责令其限期改正，给予警告，可以并处2000元以下的罚款；造成损失的，应当依法赔偿。</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涉及内河五级以下航道或者通航不足5000吨级海轮航道，经责令限期改正，在整改期限内改正的</w:t>
            </w:r>
          </w:p>
        </w:tc>
        <w:tc>
          <w:tcPr>
            <w:tcW w:w="1746" w:type="dxa"/>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涉及内河五级以下航道或者通航不足5000吨级海轮航道，经责令限期改正，逾期仍未改正的</w:t>
            </w:r>
          </w:p>
        </w:tc>
        <w:tc>
          <w:tcPr>
            <w:tcW w:w="1746"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给予警告，并处一千元以下罚款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涉及内河四级以上航道或者通航5000吨级以上海轮航道，经责令限期改正，在整改期限内改正的</w:t>
            </w:r>
          </w:p>
        </w:tc>
        <w:tc>
          <w:tcPr>
            <w:tcW w:w="1746" w:type="dxa"/>
            <w:vMerge w:val="continue"/>
            <w:vAlign w:val="center"/>
          </w:tcPr>
          <w:p>
            <w:pPr>
              <w:widowControl/>
              <w:spacing w:line="300" w:lineRule="exact"/>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涉及内河四级以上航道或者通航5000吨级以上海轮航道，经责令限期改正，逾期仍未改正的</w:t>
            </w:r>
          </w:p>
        </w:tc>
        <w:tc>
          <w:tcPr>
            <w:tcW w:w="1746" w:type="dxa"/>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给予警告，并处一千元以上（不包括本数）二千元以下罚款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90" w:type="dxa"/>
            <w:vMerge w:val="restart"/>
            <w:vAlign w:val="center"/>
          </w:tcPr>
          <w:p>
            <w:pPr>
              <w:widowControl/>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13</w:t>
            </w:r>
          </w:p>
        </w:tc>
        <w:tc>
          <w:tcPr>
            <w:tcW w:w="122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未按照规定设置警示标志、防护装置或者桥区水上航标</w:t>
            </w:r>
          </w:p>
        </w:tc>
        <w:tc>
          <w:tcPr>
            <w:tcW w:w="439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《上海市航道条例》第二十七条第一款</w:t>
            </w:r>
          </w:p>
          <w:p>
            <w:pPr>
              <w:widowControl/>
              <w:spacing w:line="300" w:lineRule="exact"/>
              <w:ind w:firstLine="480" w:firstLineChars="200"/>
              <w:rPr>
                <w:rFonts w:ascii="仿宋_GB2312" w:eastAsia="仿宋_GB2312" w:cs="宋体"/>
                <w:kern w:val="0"/>
                <w:sz w:val="24"/>
                <w:szCs w:val="24"/>
              </w:rPr>
            </w:pPr>
            <w:r>
              <w:rPr>
                <w:rFonts w:hint="eastAsia" w:ascii="仿宋_GB2312" w:eastAsia="仿宋_GB2312" w:cs="宋体"/>
                <w:kern w:val="0"/>
                <w:sz w:val="24"/>
                <w:szCs w:val="24"/>
              </w:rPr>
              <w:t>涉及航道的桥梁、水闸、隧道、管道、缆线等建筑物、构筑物的建设单位或者管理单位应当按照规定设置警示标志、防护装置、桥区水上航标。</w:t>
            </w:r>
          </w:p>
        </w:tc>
        <w:tc>
          <w:tcPr>
            <w:tcW w:w="373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《上海市航道条例》第三十九条</w:t>
            </w:r>
          </w:p>
          <w:p>
            <w:pPr>
              <w:widowControl/>
              <w:spacing w:line="300" w:lineRule="exact"/>
              <w:ind w:firstLine="480" w:firstLineChars="200"/>
              <w:rPr>
                <w:rFonts w:ascii="仿宋_GB2312" w:eastAsia="仿宋_GB2312" w:cs="宋体"/>
                <w:kern w:val="0"/>
                <w:sz w:val="24"/>
                <w:szCs w:val="24"/>
              </w:rPr>
            </w:pPr>
            <w:r>
              <w:rPr>
                <w:rFonts w:hint="eastAsia" w:ascii="仿宋_GB2312" w:eastAsia="仿宋_GB2312" w:cs="宋体"/>
                <w:kern w:val="0"/>
                <w:sz w:val="24"/>
                <w:szCs w:val="24"/>
              </w:rPr>
              <w:t>违反本条例第二十七条第一款规定，有关建设单位或者管理单位未按照规定设置警示标志、防护装置或者桥区水上航标的，由市、区交通行政管理部门或者国家海事管理机构责令改正，处五千元以上五万元以下罚款。</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涉及内河五级以下航道或者通航不足5000吨级海轮航道，经责令改正，未按要求改正的</w:t>
            </w:r>
          </w:p>
        </w:tc>
        <w:tc>
          <w:tcPr>
            <w:tcW w:w="1746"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处一万元以上（不包括本数）二万元以下罚款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涉及内河四级以上航道或者通航5000吨级以上海轮航道，经责令改正，按要求改正的</w:t>
            </w:r>
          </w:p>
        </w:tc>
        <w:tc>
          <w:tcPr>
            <w:tcW w:w="1746" w:type="dxa"/>
            <w:vMerge w:val="continue"/>
            <w:vAlign w:val="center"/>
          </w:tcPr>
          <w:p>
            <w:pPr>
              <w:widowControl/>
              <w:spacing w:line="300" w:lineRule="exact"/>
              <w:rPr>
                <w:rFonts w:ascii="仿宋_GB2312" w:eastAsia="仿宋_GB2312" w:cs="宋体"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涉及内河四级以上航道或者通航5000吨级以上海轮航道，经责令改正，未按要求改正的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处二万元以上（不包括本数）五万元以下罚款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90" w:type="dxa"/>
            <w:vMerge w:val="restart"/>
            <w:vAlign w:val="center"/>
          </w:tcPr>
          <w:p>
            <w:pPr>
              <w:widowControl/>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14</w:t>
            </w:r>
          </w:p>
        </w:tc>
        <w:tc>
          <w:tcPr>
            <w:tcW w:w="122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在航道保护范围内挖土</w:t>
            </w:r>
          </w:p>
        </w:tc>
        <w:tc>
          <w:tcPr>
            <w:tcW w:w="439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《上海市航道条例》第二十九条第（一）项</w:t>
            </w:r>
          </w:p>
          <w:p>
            <w:pPr>
              <w:widowControl/>
              <w:spacing w:line="300" w:lineRule="exact"/>
              <w:ind w:firstLine="480" w:firstLineChars="200"/>
              <w:rPr>
                <w:rFonts w:ascii="仿宋_GB2312" w:eastAsia="仿宋_GB2312" w:cs="宋体"/>
                <w:kern w:val="0"/>
                <w:sz w:val="24"/>
                <w:szCs w:val="24"/>
              </w:rPr>
            </w:pPr>
            <w:r>
              <w:rPr>
                <w:rFonts w:hint="eastAsia" w:ascii="仿宋_GB2312" w:eastAsia="仿宋_GB2312" w:cs="宋体"/>
                <w:kern w:val="0"/>
                <w:sz w:val="24"/>
                <w:szCs w:val="24"/>
              </w:rPr>
              <w:t>禁止下列危害航道通航安全的行为：</w:t>
            </w:r>
          </w:p>
          <w:p>
            <w:pPr>
              <w:widowControl/>
              <w:spacing w:line="300" w:lineRule="exact"/>
              <w:ind w:firstLine="480" w:firstLineChars="200"/>
              <w:rPr>
                <w:rFonts w:ascii="仿宋_GB2312" w:eastAsia="仿宋_GB2312" w:cs="宋体"/>
                <w:kern w:val="0"/>
                <w:sz w:val="24"/>
                <w:szCs w:val="24"/>
              </w:rPr>
            </w:pPr>
            <w:r>
              <w:rPr>
                <w:rFonts w:hint="eastAsia" w:ascii="仿宋_GB2312" w:eastAsia="仿宋_GB2312" w:cs="宋体"/>
                <w:kern w:val="0"/>
                <w:sz w:val="24"/>
                <w:szCs w:val="24"/>
              </w:rPr>
              <w:t>（一）在航道保护范围内挖土；</w:t>
            </w:r>
          </w:p>
        </w:tc>
        <w:tc>
          <w:tcPr>
            <w:tcW w:w="373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《上海市航道条例》第四十条</w:t>
            </w:r>
          </w:p>
          <w:p>
            <w:pPr>
              <w:widowControl/>
              <w:spacing w:line="300" w:lineRule="exact"/>
              <w:ind w:firstLine="480" w:firstLineChars="200"/>
              <w:rPr>
                <w:rFonts w:ascii="仿宋_GB2312" w:eastAsia="仿宋_GB2312" w:cs="宋体"/>
                <w:kern w:val="0"/>
                <w:sz w:val="24"/>
                <w:szCs w:val="24"/>
              </w:rPr>
            </w:pPr>
            <w:r>
              <w:rPr>
                <w:rFonts w:hint="eastAsia" w:ascii="仿宋_GB2312" w:eastAsia="仿宋_GB2312" w:cs="宋体"/>
                <w:kern w:val="0"/>
                <w:sz w:val="24"/>
                <w:szCs w:val="24"/>
              </w:rPr>
              <w:t>违反本条例第二十九条规定，在航道保护范围内挖土，在航道岸线外六米范围内堆放容易滑泻的物品的，由市、区交通行政管理部门责令改正，对单位处五千元以上五万元以下罚款；对个人处二百元以上二千元以下罚款；造成损失的，依法承担赔偿责任。</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对单位处五千元以上一万元以下罚款，对个人处二百元以上五百元以下罚款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涉及内河五级以下航道或者通航不足5000吨级海轮航道，经责令改正，未按要求改正的</w:t>
            </w:r>
          </w:p>
        </w:tc>
        <w:tc>
          <w:tcPr>
            <w:tcW w:w="1746"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对单位处一万元以上（不包括本数）二万元以下罚款，对个人处五百元以上（不包括本数）一千元以下罚款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涉及内河四级以上航道或者通航5000吨级以上海轮航道，经责令改正，按要求改正的</w:t>
            </w:r>
          </w:p>
        </w:tc>
        <w:tc>
          <w:tcPr>
            <w:tcW w:w="1746" w:type="dxa"/>
            <w:vMerge w:val="continue"/>
            <w:vAlign w:val="center"/>
          </w:tcPr>
          <w:p>
            <w:pPr>
              <w:widowControl/>
              <w:spacing w:line="300" w:lineRule="exact"/>
              <w:rPr>
                <w:rFonts w:ascii="仿宋_GB2312" w:eastAsia="仿宋_GB2312" w:cs="宋体"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90" w:type="dxa"/>
            <w:vMerge w:val="continue"/>
            <w:vAlign w:val="center"/>
          </w:tcPr>
          <w:p>
            <w:pPr>
              <w:widowControl/>
              <w:spacing w:line="300" w:lineRule="exact"/>
              <w:jc w:val="center"/>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涉及内河四级以上航道或者通航5000吨级以上海轮航道，经责令改正，未按要求改正的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对单位处二万元以上（不包括本数）五万元以下罚款，对个人处一千元以上（不包括本数）二千元以下罚款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90" w:type="dxa"/>
            <w:vMerge w:val="restart"/>
            <w:vAlign w:val="center"/>
          </w:tcPr>
          <w:p>
            <w:pPr>
              <w:widowControl/>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15</w:t>
            </w:r>
          </w:p>
        </w:tc>
        <w:tc>
          <w:tcPr>
            <w:tcW w:w="122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在航道岸线外六米范围内堆放容易滑泻的物品</w:t>
            </w:r>
          </w:p>
        </w:tc>
        <w:tc>
          <w:tcPr>
            <w:tcW w:w="439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《上海市航道条例》第二十九条第（二）项</w:t>
            </w:r>
          </w:p>
          <w:p>
            <w:pPr>
              <w:widowControl/>
              <w:spacing w:line="300" w:lineRule="exact"/>
              <w:ind w:firstLine="480" w:firstLineChars="200"/>
              <w:rPr>
                <w:rFonts w:ascii="仿宋_GB2312" w:eastAsia="仿宋_GB2312" w:cs="宋体"/>
                <w:kern w:val="0"/>
                <w:sz w:val="24"/>
                <w:szCs w:val="24"/>
              </w:rPr>
            </w:pPr>
            <w:r>
              <w:rPr>
                <w:rFonts w:hint="eastAsia" w:ascii="仿宋_GB2312" w:eastAsia="仿宋_GB2312" w:cs="宋体"/>
                <w:kern w:val="0"/>
                <w:sz w:val="24"/>
                <w:szCs w:val="24"/>
              </w:rPr>
              <w:t>禁止下列危害航道通航安全的行为：</w:t>
            </w:r>
          </w:p>
          <w:p>
            <w:pPr>
              <w:widowControl/>
              <w:spacing w:line="300" w:lineRule="exact"/>
              <w:ind w:firstLine="480" w:firstLineChars="200"/>
              <w:rPr>
                <w:rFonts w:ascii="仿宋_GB2312" w:eastAsia="仿宋_GB2312" w:cs="宋体"/>
                <w:kern w:val="0"/>
                <w:sz w:val="24"/>
                <w:szCs w:val="24"/>
              </w:rPr>
            </w:pPr>
            <w:r>
              <w:rPr>
                <w:rFonts w:hint="eastAsia" w:ascii="仿宋_GB2312" w:eastAsia="仿宋_GB2312" w:cs="宋体"/>
                <w:kern w:val="0"/>
                <w:sz w:val="24"/>
                <w:szCs w:val="24"/>
              </w:rPr>
              <w:t>（二）在航道岸线外六米范围内堆放容易滑泻的物品；</w:t>
            </w:r>
          </w:p>
        </w:tc>
        <w:tc>
          <w:tcPr>
            <w:tcW w:w="3737" w:type="dxa"/>
            <w:vMerge w:val="restart"/>
            <w:vAlign w:val="center"/>
          </w:tcPr>
          <w:p>
            <w:pPr>
              <w:widowControl/>
              <w:spacing w:line="300" w:lineRule="exact"/>
              <w:rPr>
                <w:rFonts w:ascii="仿宋_GB2312" w:eastAsia="仿宋_GB2312" w:cs="宋体"/>
                <w:kern w:val="0"/>
                <w:sz w:val="24"/>
                <w:szCs w:val="24"/>
              </w:rPr>
            </w:pPr>
            <w:r>
              <w:rPr>
                <w:rFonts w:hint="eastAsia" w:ascii="仿宋_GB2312" w:eastAsia="仿宋_GB2312" w:cs="宋体"/>
                <w:kern w:val="0"/>
                <w:sz w:val="24"/>
                <w:szCs w:val="24"/>
              </w:rPr>
              <w:t>《上海市航道条例》第四十条</w:t>
            </w:r>
          </w:p>
          <w:p>
            <w:pPr>
              <w:widowControl/>
              <w:spacing w:line="300" w:lineRule="exact"/>
              <w:ind w:firstLine="480" w:firstLineChars="200"/>
              <w:rPr>
                <w:rFonts w:ascii="仿宋_GB2312" w:eastAsia="仿宋_GB2312" w:cs="宋体"/>
                <w:kern w:val="0"/>
                <w:sz w:val="24"/>
                <w:szCs w:val="24"/>
              </w:rPr>
            </w:pPr>
            <w:r>
              <w:rPr>
                <w:rFonts w:hint="eastAsia" w:ascii="仿宋_GB2312" w:eastAsia="仿宋_GB2312" w:cs="宋体"/>
                <w:kern w:val="0"/>
                <w:sz w:val="24"/>
                <w:szCs w:val="24"/>
              </w:rPr>
              <w:t>违反本条例第二十九条规定，在航道保护范围内挖土，在航道岸线外六米范围内堆放容易滑泻的物品的，由市、区交通行政管理部门责令改正，对单位处五千元以上五万元以下罚款；对个人处二百元以上二千元以下罚款；造成损失的，依法承担赔偿责任。</w:t>
            </w: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对单位处五千元以上一万元以下罚款，对个人处二百元以上五百元以下罚款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90" w:type="dxa"/>
            <w:vMerge w:val="continue"/>
            <w:vAlign w:val="center"/>
          </w:tcPr>
          <w:p>
            <w:pPr>
              <w:widowControl/>
              <w:spacing w:line="300" w:lineRule="exact"/>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涉及内河五级以下航道或者通航不足5000吨级海轮航道，经责令改正，未按要求改正的</w:t>
            </w:r>
          </w:p>
        </w:tc>
        <w:tc>
          <w:tcPr>
            <w:tcW w:w="1746" w:type="dxa"/>
            <w:vMerge w:val="restart"/>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对单位处一万元以上（不包括本数）二万元以下罚款，对个人处五百元以上（不包括本数）一千元以下罚款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90" w:type="dxa"/>
            <w:vMerge w:val="continue"/>
            <w:vAlign w:val="center"/>
          </w:tcPr>
          <w:p>
            <w:pPr>
              <w:widowControl/>
              <w:spacing w:line="300" w:lineRule="exact"/>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涉及内河四级以上航道或者通航5000吨级以上海轮航道，经责令改正，按要求改正的</w:t>
            </w:r>
          </w:p>
        </w:tc>
        <w:tc>
          <w:tcPr>
            <w:tcW w:w="1746" w:type="dxa"/>
            <w:vMerge w:val="continue"/>
            <w:vAlign w:val="center"/>
          </w:tcPr>
          <w:p>
            <w:pPr>
              <w:widowControl/>
              <w:spacing w:line="300" w:lineRule="exact"/>
              <w:rPr>
                <w:rFonts w:ascii="仿宋_GB2312" w:eastAsia="仿宋_GB2312" w:cs="宋体"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90" w:type="dxa"/>
            <w:vMerge w:val="continue"/>
            <w:vAlign w:val="center"/>
          </w:tcPr>
          <w:p>
            <w:pPr>
              <w:widowControl/>
              <w:spacing w:line="300" w:lineRule="exact"/>
              <w:rPr>
                <w:rFonts w:ascii="仿宋_GB2312" w:eastAsia="仿宋_GB2312" w:cs="宋体"/>
                <w:kern w:val="0"/>
                <w:sz w:val="24"/>
                <w:szCs w:val="24"/>
              </w:rPr>
            </w:pPr>
          </w:p>
        </w:tc>
        <w:tc>
          <w:tcPr>
            <w:tcW w:w="1227" w:type="dxa"/>
            <w:vMerge w:val="continue"/>
            <w:vAlign w:val="center"/>
          </w:tcPr>
          <w:p>
            <w:pPr>
              <w:widowControl/>
              <w:spacing w:line="300" w:lineRule="exact"/>
              <w:rPr>
                <w:rFonts w:ascii="仿宋_GB2312" w:eastAsia="仿宋_GB2312" w:cs="宋体"/>
                <w:kern w:val="0"/>
                <w:sz w:val="24"/>
                <w:szCs w:val="24"/>
              </w:rPr>
            </w:pPr>
          </w:p>
        </w:tc>
        <w:tc>
          <w:tcPr>
            <w:tcW w:w="4397" w:type="dxa"/>
            <w:vMerge w:val="continue"/>
            <w:vAlign w:val="center"/>
          </w:tcPr>
          <w:p>
            <w:pPr>
              <w:widowControl/>
              <w:spacing w:line="300" w:lineRule="exact"/>
              <w:rPr>
                <w:rFonts w:ascii="仿宋_GB2312" w:eastAsia="仿宋_GB2312" w:cs="宋体"/>
                <w:kern w:val="0"/>
                <w:sz w:val="24"/>
                <w:szCs w:val="24"/>
              </w:rPr>
            </w:pPr>
          </w:p>
        </w:tc>
        <w:tc>
          <w:tcPr>
            <w:tcW w:w="3737" w:type="dxa"/>
            <w:vMerge w:val="continue"/>
            <w:vAlign w:val="center"/>
          </w:tcPr>
          <w:p>
            <w:pPr>
              <w:widowControl/>
              <w:spacing w:line="300" w:lineRule="exact"/>
              <w:rPr>
                <w:rFonts w:ascii="仿宋_GB2312" w:eastAsia="仿宋_GB2312" w:cs="宋体"/>
                <w:kern w:val="0"/>
                <w:sz w:val="24"/>
                <w:szCs w:val="24"/>
              </w:rPr>
            </w:pPr>
          </w:p>
        </w:tc>
        <w:tc>
          <w:tcPr>
            <w:tcW w:w="3634" w:type="dxa"/>
            <w:gridSpan w:val="2"/>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涉及内河四级以上航道或者通航5000吨级以上海轮航道，经责令改正，未按要求改正的</w:t>
            </w:r>
          </w:p>
        </w:tc>
        <w:tc>
          <w:tcPr>
            <w:tcW w:w="1746" w:type="dxa"/>
            <w:vAlign w:val="center"/>
          </w:tcPr>
          <w:p>
            <w:pPr>
              <w:widowControl/>
              <w:spacing w:line="300" w:lineRule="exac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对单位处二万元以上（不包括本数）五万元以下罚款，对个人处一千元以上（不包括本数）二千元以下罚款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531" w:type="dxa"/>
            <w:gridSpan w:val="7"/>
            <w:vMerge w:val="restart"/>
            <w:vAlign w:val="center"/>
          </w:tcPr>
          <w:p>
            <w:pPr>
              <w:spacing w:line="300" w:lineRule="exact"/>
              <w:rPr>
                <w:rFonts w:ascii="仿宋_GB2312" w:eastAsia="仿宋_GB2312" w:hAnsiTheme="minorEastAsia"/>
                <w:b/>
                <w:kern w:val="0"/>
                <w:sz w:val="24"/>
                <w:szCs w:val="24"/>
              </w:rPr>
            </w:pPr>
            <w:r>
              <w:rPr>
                <w:rFonts w:hint="eastAsia" w:ascii="仿宋_GB2312" w:eastAsia="仿宋_GB2312" w:hAnsiTheme="minorEastAsia"/>
                <w:b/>
                <w:kern w:val="0"/>
                <w:sz w:val="24"/>
                <w:szCs w:val="24"/>
              </w:rPr>
              <w:t>备注：</w:t>
            </w:r>
          </w:p>
          <w:p>
            <w:pPr>
              <w:spacing w:line="300" w:lineRule="exact"/>
              <w:ind w:firstLine="480" w:firstLineChars="200"/>
              <w:rPr>
                <w:rFonts w:ascii="仿宋_GB2312" w:eastAsia="仿宋_GB2312" w:hAnsiTheme="minorEastAsia"/>
                <w:kern w:val="0"/>
                <w:sz w:val="24"/>
                <w:szCs w:val="24"/>
              </w:rPr>
            </w:pPr>
            <w:r>
              <w:rPr>
                <w:rFonts w:hint="eastAsia" w:ascii="仿宋_GB2312" w:eastAsia="仿宋_GB2312" w:hAnsiTheme="minorEastAsia"/>
                <w:kern w:val="0"/>
                <w:sz w:val="24"/>
                <w:szCs w:val="24"/>
              </w:rPr>
              <w:t>1、行政处罚实施主体按照相关法律、法规、规章规定。</w:t>
            </w:r>
          </w:p>
          <w:p>
            <w:pPr>
              <w:spacing w:line="300" w:lineRule="exact"/>
              <w:ind w:firstLine="480" w:firstLineChars="200"/>
              <w:rPr>
                <w:rFonts w:ascii="仿宋_GB2312" w:eastAsia="仿宋_GB2312" w:hAnsiTheme="minorEastAsia"/>
                <w:kern w:val="0"/>
                <w:sz w:val="24"/>
                <w:szCs w:val="24"/>
              </w:rPr>
            </w:pPr>
            <w:r>
              <w:rPr>
                <w:rFonts w:hint="eastAsia" w:ascii="仿宋_GB2312" w:eastAsia="仿宋_GB2312" w:hAnsiTheme="minorEastAsia"/>
                <w:kern w:val="0"/>
                <w:sz w:val="24"/>
                <w:szCs w:val="24"/>
              </w:rPr>
              <w:t>2、本表所列的航道违法行为有《中华人民共和国行政处罚法》和《上海市人民政府关于本市建立行政处罚裁量基准制度的指导意见》所列应当“减轻、从轻、从重”情形的，裁量时应当予以减轻、从轻、从重。本表对上述航道违法行为从轻、从重情节已有具体规定的，从其规定。</w:t>
            </w:r>
          </w:p>
          <w:p>
            <w:pPr>
              <w:spacing w:line="300" w:lineRule="exact"/>
              <w:ind w:firstLine="480" w:firstLineChars="200"/>
              <w:rPr>
                <w:rFonts w:ascii="仿宋_GB2312" w:eastAsia="仿宋_GB2312" w:hAnsiTheme="minorEastAsia"/>
                <w:kern w:val="0"/>
                <w:sz w:val="24"/>
                <w:szCs w:val="24"/>
              </w:rPr>
            </w:pPr>
            <w:r>
              <w:rPr>
                <w:rFonts w:hint="eastAsia" w:ascii="仿宋_GB2312" w:eastAsia="仿宋_GB2312" w:hAnsiTheme="minorEastAsia"/>
                <w:kern w:val="0"/>
                <w:sz w:val="24"/>
                <w:szCs w:val="24"/>
              </w:rPr>
              <w:t>3、本表所列的处罚依据里有“可处”、“可以处”表述的，违法行为轻微并及时纠正，且没有造成危害后果的，不予行政处罚。</w:t>
            </w:r>
          </w:p>
          <w:p>
            <w:pPr>
              <w:spacing w:line="300" w:lineRule="exact"/>
              <w:ind w:firstLine="480" w:firstLineChars="200"/>
              <w:rPr>
                <w:rFonts w:ascii="仿宋_GB2312" w:eastAsia="仿宋_GB2312" w:hAnsiTheme="minorEastAsia"/>
                <w:kern w:val="0"/>
                <w:sz w:val="24"/>
                <w:szCs w:val="24"/>
              </w:rPr>
            </w:pPr>
            <w:r>
              <w:rPr>
                <w:rFonts w:hint="eastAsia" w:ascii="仿宋_GB2312" w:eastAsia="仿宋_GB2312" w:hAnsiTheme="minorEastAsia"/>
                <w:kern w:val="0"/>
                <w:sz w:val="24"/>
                <w:szCs w:val="24"/>
              </w:rPr>
              <w:t>4、本表裁量情节和处罚标准中，除特别注明的外，“以上”、“以下”均含本数。</w:t>
            </w:r>
          </w:p>
          <w:p>
            <w:pPr>
              <w:spacing w:line="300" w:lineRule="exact"/>
              <w:ind w:firstLine="480" w:firstLineChars="200"/>
              <w:rPr>
                <w:rFonts w:ascii="仿宋_GB2312" w:eastAsia="仿宋_GB2312" w:hAnsiTheme="minorEastAsia"/>
                <w:kern w:val="0"/>
                <w:sz w:val="24"/>
                <w:szCs w:val="24"/>
              </w:rPr>
            </w:pPr>
            <w:r>
              <w:rPr>
                <w:rFonts w:hint="eastAsia" w:ascii="仿宋_GB2312" w:eastAsia="仿宋_GB2312" w:hAnsiTheme="minorEastAsia"/>
                <w:kern w:val="0"/>
                <w:sz w:val="24"/>
                <w:szCs w:val="24"/>
              </w:rPr>
              <w:t>5、本表所列“</w:t>
            </w:r>
            <w:r>
              <w:rPr>
                <w:rFonts w:hint="eastAsia" w:ascii="仿宋_GB2312" w:eastAsia="仿宋_GB2312" w:cs="宋体" w:hAnsiTheme="minorEastAsia"/>
                <w:kern w:val="0"/>
                <w:sz w:val="24"/>
                <w:szCs w:val="24"/>
              </w:rPr>
              <w:t>内河五级以下航道</w:t>
            </w:r>
            <w:r>
              <w:rPr>
                <w:rFonts w:hint="eastAsia" w:ascii="仿宋_GB2312" w:eastAsia="仿宋_GB2312" w:hAnsiTheme="minorEastAsia"/>
                <w:kern w:val="0"/>
                <w:sz w:val="24"/>
                <w:szCs w:val="24"/>
              </w:rPr>
              <w:t>”是指内河五级、六级、七级及以下航道；“</w:t>
            </w:r>
            <w:r>
              <w:rPr>
                <w:rFonts w:hint="eastAsia" w:ascii="仿宋_GB2312" w:eastAsia="仿宋_GB2312" w:cs="宋体" w:hAnsiTheme="minorEastAsia"/>
                <w:kern w:val="0"/>
                <w:sz w:val="24"/>
                <w:szCs w:val="24"/>
              </w:rPr>
              <w:t>内河四级以上航道</w:t>
            </w:r>
            <w:r>
              <w:rPr>
                <w:rFonts w:hint="eastAsia" w:ascii="仿宋_GB2312" w:eastAsia="仿宋_GB2312" w:hAnsiTheme="minorEastAsia"/>
                <w:kern w:val="0"/>
                <w:sz w:val="24"/>
                <w:szCs w:val="24"/>
              </w:rPr>
              <w:t>”是指内河一级、二级、三级、四级航道。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531" w:type="dxa"/>
            <w:gridSpan w:val="7"/>
            <w:vMerge w:val="continue"/>
            <w:vAlign w:val="center"/>
          </w:tcPr>
          <w:p>
            <w:pPr>
              <w:widowControl/>
              <w:spacing w:line="300" w:lineRule="exact"/>
              <w:rPr>
                <w:rFonts w:ascii="仿宋_GB2312" w:eastAsia="仿宋_GB2312" w:cs="宋体"/>
                <w:kern w:val="0"/>
                <w:sz w:val="24"/>
                <w:szCs w:val="24"/>
              </w:rPr>
            </w:pPr>
          </w:p>
        </w:tc>
      </w:tr>
    </w:tbl>
    <w:p>
      <w:pPr>
        <w:widowControl/>
        <w:shd w:val="clear" w:color="auto" w:fill="FFFFFF"/>
        <w:spacing w:line="360" w:lineRule="atLeast"/>
        <w:jc w:val="left"/>
        <w:rPr>
          <w:rFonts w:cs="宋体"/>
          <w:kern w:val="0"/>
          <w:sz w:val="21"/>
          <w:szCs w:val="21"/>
        </w:rPr>
      </w:pPr>
    </w:p>
    <w:sectPr>
      <w:footerReference r:id="rId3" w:type="default"/>
      <w:footerReference r:id="rId4" w:type="even"/>
      <w:pgSz w:w="16838" w:h="11906" w:orient="landscape"/>
      <w:pgMar w:top="1134" w:right="1134" w:bottom="1134" w:left="1134"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１</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3B38"/>
    <w:rsid w:val="0000004A"/>
    <w:rsid w:val="00000187"/>
    <w:rsid w:val="00000A63"/>
    <w:rsid w:val="00000EE8"/>
    <w:rsid w:val="00001358"/>
    <w:rsid w:val="0000250A"/>
    <w:rsid w:val="00004A84"/>
    <w:rsid w:val="00005553"/>
    <w:rsid w:val="000055AB"/>
    <w:rsid w:val="00006197"/>
    <w:rsid w:val="000063AC"/>
    <w:rsid w:val="00006ACC"/>
    <w:rsid w:val="00007546"/>
    <w:rsid w:val="000077AA"/>
    <w:rsid w:val="00007C1D"/>
    <w:rsid w:val="00007C64"/>
    <w:rsid w:val="00007E5C"/>
    <w:rsid w:val="00011A00"/>
    <w:rsid w:val="00011A80"/>
    <w:rsid w:val="00011D79"/>
    <w:rsid w:val="000126FB"/>
    <w:rsid w:val="000131D7"/>
    <w:rsid w:val="00013E08"/>
    <w:rsid w:val="00013E79"/>
    <w:rsid w:val="00014859"/>
    <w:rsid w:val="0001553B"/>
    <w:rsid w:val="00015705"/>
    <w:rsid w:val="00015A65"/>
    <w:rsid w:val="0001676E"/>
    <w:rsid w:val="00016B8E"/>
    <w:rsid w:val="00016D0D"/>
    <w:rsid w:val="000173C6"/>
    <w:rsid w:val="000178B2"/>
    <w:rsid w:val="00020269"/>
    <w:rsid w:val="000204BA"/>
    <w:rsid w:val="00020526"/>
    <w:rsid w:val="000205D9"/>
    <w:rsid w:val="000214BB"/>
    <w:rsid w:val="00021894"/>
    <w:rsid w:val="000231DF"/>
    <w:rsid w:val="0002359F"/>
    <w:rsid w:val="000238FD"/>
    <w:rsid w:val="00023E8C"/>
    <w:rsid w:val="00024144"/>
    <w:rsid w:val="0002422B"/>
    <w:rsid w:val="0002485C"/>
    <w:rsid w:val="000248FA"/>
    <w:rsid w:val="00025027"/>
    <w:rsid w:val="000253EF"/>
    <w:rsid w:val="00025A2E"/>
    <w:rsid w:val="00025E06"/>
    <w:rsid w:val="00025ED5"/>
    <w:rsid w:val="00026DF1"/>
    <w:rsid w:val="00026E30"/>
    <w:rsid w:val="000276F8"/>
    <w:rsid w:val="00030130"/>
    <w:rsid w:val="000307A3"/>
    <w:rsid w:val="000308AF"/>
    <w:rsid w:val="00030B91"/>
    <w:rsid w:val="00031AA4"/>
    <w:rsid w:val="0003210D"/>
    <w:rsid w:val="0003266E"/>
    <w:rsid w:val="00032A7D"/>
    <w:rsid w:val="0003328C"/>
    <w:rsid w:val="00033CB5"/>
    <w:rsid w:val="00034A1B"/>
    <w:rsid w:val="00034E3C"/>
    <w:rsid w:val="00034E87"/>
    <w:rsid w:val="000353D3"/>
    <w:rsid w:val="000354DB"/>
    <w:rsid w:val="000363B6"/>
    <w:rsid w:val="00036C28"/>
    <w:rsid w:val="000372A1"/>
    <w:rsid w:val="000404E1"/>
    <w:rsid w:val="00040A6D"/>
    <w:rsid w:val="00040B00"/>
    <w:rsid w:val="0004184A"/>
    <w:rsid w:val="000420DE"/>
    <w:rsid w:val="00042EE6"/>
    <w:rsid w:val="0004358F"/>
    <w:rsid w:val="00044A6E"/>
    <w:rsid w:val="0004629F"/>
    <w:rsid w:val="00046D70"/>
    <w:rsid w:val="00047966"/>
    <w:rsid w:val="000502EF"/>
    <w:rsid w:val="00050755"/>
    <w:rsid w:val="000508CE"/>
    <w:rsid w:val="00050C57"/>
    <w:rsid w:val="00050EC0"/>
    <w:rsid w:val="000515C5"/>
    <w:rsid w:val="000525A6"/>
    <w:rsid w:val="000526D1"/>
    <w:rsid w:val="00052A9B"/>
    <w:rsid w:val="00052B60"/>
    <w:rsid w:val="00052E28"/>
    <w:rsid w:val="000532E1"/>
    <w:rsid w:val="00053F12"/>
    <w:rsid w:val="0005445D"/>
    <w:rsid w:val="00054DDC"/>
    <w:rsid w:val="0005552E"/>
    <w:rsid w:val="00056D2F"/>
    <w:rsid w:val="000571CF"/>
    <w:rsid w:val="00057253"/>
    <w:rsid w:val="00060956"/>
    <w:rsid w:val="00061CC9"/>
    <w:rsid w:val="00061D8D"/>
    <w:rsid w:val="0006272C"/>
    <w:rsid w:val="00062815"/>
    <w:rsid w:val="00062BEF"/>
    <w:rsid w:val="00063028"/>
    <w:rsid w:val="000636FE"/>
    <w:rsid w:val="00064ACE"/>
    <w:rsid w:val="00064D3F"/>
    <w:rsid w:val="000654EE"/>
    <w:rsid w:val="00065F9B"/>
    <w:rsid w:val="00066429"/>
    <w:rsid w:val="000677ED"/>
    <w:rsid w:val="0006784E"/>
    <w:rsid w:val="00070536"/>
    <w:rsid w:val="00070DBB"/>
    <w:rsid w:val="000717B7"/>
    <w:rsid w:val="00071E75"/>
    <w:rsid w:val="0007298A"/>
    <w:rsid w:val="0007315A"/>
    <w:rsid w:val="00073319"/>
    <w:rsid w:val="00073779"/>
    <w:rsid w:val="000746AA"/>
    <w:rsid w:val="00075408"/>
    <w:rsid w:val="0007592C"/>
    <w:rsid w:val="00075AEC"/>
    <w:rsid w:val="000766F0"/>
    <w:rsid w:val="000774D7"/>
    <w:rsid w:val="0008042D"/>
    <w:rsid w:val="00080940"/>
    <w:rsid w:val="0008164F"/>
    <w:rsid w:val="00081F22"/>
    <w:rsid w:val="000825F4"/>
    <w:rsid w:val="0008263A"/>
    <w:rsid w:val="000831E9"/>
    <w:rsid w:val="00083295"/>
    <w:rsid w:val="000850AD"/>
    <w:rsid w:val="0008617F"/>
    <w:rsid w:val="00086305"/>
    <w:rsid w:val="000865BC"/>
    <w:rsid w:val="000866D1"/>
    <w:rsid w:val="000874B7"/>
    <w:rsid w:val="00090188"/>
    <w:rsid w:val="00090435"/>
    <w:rsid w:val="0009178D"/>
    <w:rsid w:val="00091847"/>
    <w:rsid w:val="0009197A"/>
    <w:rsid w:val="00092F12"/>
    <w:rsid w:val="000944DB"/>
    <w:rsid w:val="00094B28"/>
    <w:rsid w:val="0009584C"/>
    <w:rsid w:val="00096302"/>
    <w:rsid w:val="000963EF"/>
    <w:rsid w:val="0009711A"/>
    <w:rsid w:val="00097CF1"/>
    <w:rsid w:val="000A00AC"/>
    <w:rsid w:val="000A0455"/>
    <w:rsid w:val="000A0698"/>
    <w:rsid w:val="000A0E25"/>
    <w:rsid w:val="000A38B2"/>
    <w:rsid w:val="000A44CE"/>
    <w:rsid w:val="000A72B9"/>
    <w:rsid w:val="000A7752"/>
    <w:rsid w:val="000A7AE9"/>
    <w:rsid w:val="000B0160"/>
    <w:rsid w:val="000B10CD"/>
    <w:rsid w:val="000B1255"/>
    <w:rsid w:val="000B1EE6"/>
    <w:rsid w:val="000B1F96"/>
    <w:rsid w:val="000B223E"/>
    <w:rsid w:val="000B2374"/>
    <w:rsid w:val="000B2A75"/>
    <w:rsid w:val="000B3F55"/>
    <w:rsid w:val="000B3F64"/>
    <w:rsid w:val="000B4371"/>
    <w:rsid w:val="000B4988"/>
    <w:rsid w:val="000B49A9"/>
    <w:rsid w:val="000B49D6"/>
    <w:rsid w:val="000B4F78"/>
    <w:rsid w:val="000B50FA"/>
    <w:rsid w:val="000B5679"/>
    <w:rsid w:val="000B5A28"/>
    <w:rsid w:val="000B783D"/>
    <w:rsid w:val="000C14DF"/>
    <w:rsid w:val="000C14FC"/>
    <w:rsid w:val="000C175A"/>
    <w:rsid w:val="000C2468"/>
    <w:rsid w:val="000C33F7"/>
    <w:rsid w:val="000C4047"/>
    <w:rsid w:val="000C46A2"/>
    <w:rsid w:val="000C55F4"/>
    <w:rsid w:val="000C60B2"/>
    <w:rsid w:val="000C628C"/>
    <w:rsid w:val="000C66AB"/>
    <w:rsid w:val="000C6875"/>
    <w:rsid w:val="000C7F0C"/>
    <w:rsid w:val="000D0E0D"/>
    <w:rsid w:val="000D0E5D"/>
    <w:rsid w:val="000D1300"/>
    <w:rsid w:val="000D1440"/>
    <w:rsid w:val="000D1598"/>
    <w:rsid w:val="000D1661"/>
    <w:rsid w:val="000D1FD5"/>
    <w:rsid w:val="000D3056"/>
    <w:rsid w:val="000D444A"/>
    <w:rsid w:val="000D4DAD"/>
    <w:rsid w:val="000D5002"/>
    <w:rsid w:val="000D599C"/>
    <w:rsid w:val="000D68BF"/>
    <w:rsid w:val="000D68FC"/>
    <w:rsid w:val="000D6927"/>
    <w:rsid w:val="000D7815"/>
    <w:rsid w:val="000E040A"/>
    <w:rsid w:val="000E19B4"/>
    <w:rsid w:val="000E29AE"/>
    <w:rsid w:val="000E2AC9"/>
    <w:rsid w:val="000E39F8"/>
    <w:rsid w:val="000E3C7E"/>
    <w:rsid w:val="000E3E1E"/>
    <w:rsid w:val="000E47CB"/>
    <w:rsid w:val="000E4836"/>
    <w:rsid w:val="000E533F"/>
    <w:rsid w:val="000E5840"/>
    <w:rsid w:val="000E6247"/>
    <w:rsid w:val="000E665E"/>
    <w:rsid w:val="000E67E3"/>
    <w:rsid w:val="000E6BB9"/>
    <w:rsid w:val="000E752C"/>
    <w:rsid w:val="000E75ED"/>
    <w:rsid w:val="000E7A17"/>
    <w:rsid w:val="000F06A4"/>
    <w:rsid w:val="000F1910"/>
    <w:rsid w:val="000F2D42"/>
    <w:rsid w:val="000F32D3"/>
    <w:rsid w:val="000F34E3"/>
    <w:rsid w:val="000F4517"/>
    <w:rsid w:val="000F4751"/>
    <w:rsid w:val="000F5E8F"/>
    <w:rsid w:val="000F6DB7"/>
    <w:rsid w:val="000F7BB7"/>
    <w:rsid w:val="000F7FC8"/>
    <w:rsid w:val="00100BE1"/>
    <w:rsid w:val="00100CD6"/>
    <w:rsid w:val="00100FF1"/>
    <w:rsid w:val="00101D02"/>
    <w:rsid w:val="00102249"/>
    <w:rsid w:val="001044D2"/>
    <w:rsid w:val="00104ABC"/>
    <w:rsid w:val="001068D8"/>
    <w:rsid w:val="001070CE"/>
    <w:rsid w:val="00107161"/>
    <w:rsid w:val="0011010F"/>
    <w:rsid w:val="001108F3"/>
    <w:rsid w:val="00110E26"/>
    <w:rsid w:val="0011101C"/>
    <w:rsid w:val="001115E6"/>
    <w:rsid w:val="00111663"/>
    <w:rsid w:val="0011477A"/>
    <w:rsid w:val="0011481D"/>
    <w:rsid w:val="00114B7D"/>
    <w:rsid w:val="00115E51"/>
    <w:rsid w:val="00116792"/>
    <w:rsid w:val="00116E87"/>
    <w:rsid w:val="00117019"/>
    <w:rsid w:val="0011743D"/>
    <w:rsid w:val="0011759D"/>
    <w:rsid w:val="00117F4F"/>
    <w:rsid w:val="0012040D"/>
    <w:rsid w:val="00121179"/>
    <w:rsid w:val="00121F44"/>
    <w:rsid w:val="0012248F"/>
    <w:rsid w:val="00122E48"/>
    <w:rsid w:val="00123670"/>
    <w:rsid w:val="00123ECC"/>
    <w:rsid w:val="00124A95"/>
    <w:rsid w:val="00124B57"/>
    <w:rsid w:val="00124EF7"/>
    <w:rsid w:val="00124FFE"/>
    <w:rsid w:val="001253E5"/>
    <w:rsid w:val="00125B10"/>
    <w:rsid w:val="00125B50"/>
    <w:rsid w:val="001262E0"/>
    <w:rsid w:val="001265E2"/>
    <w:rsid w:val="001269C1"/>
    <w:rsid w:val="00126ECA"/>
    <w:rsid w:val="00127209"/>
    <w:rsid w:val="00127A3F"/>
    <w:rsid w:val="001301CB"/>
    <w:rsid w:val="00130926"/>
    <w:rsid w:val="00130A18"/>
    <w:rsid w:val="00130D03"/>
    <w:rsid w:val="00130F54"/>
    <w:rsid w:val="00130FCD"/>
    <w:rsid w:val="00132137"/>
    <w:rsid w:val="00132445"/>
    <w:rsid w:val="001327B9"/>
    <w:rsid w:val="00132975"/>
    <w:rsid w:val="001329C2"/>
    <w:rsid w:val="00132BD5"/>
    <w:rsid w:val="00133094"/>
    <w:rsid w:val="00133E79"/>
    <w:rsid w:val="00135356"/>
    <w:rsid w:val="00135C33"/>
    <w:rsid w:val="00137803"/>
    <w:rsid w:val="00137E2A"/>
    <w:rsid w:val="0014054E"/>
    <w:rsid w:val="00140CD3"/>
    <w:rsid w:val="00141D45"/>
    <w:rsid w:val="00141E51"/>
    <w:rsid w:val="001433F6"/>
    <w:rsid w:val="00144777"/>
    <w:rsid w:val="00144D4D"/>
    <w:rsid w:val="00144D83"/>
    <w:rsid w:val="00144FD8"/>
    <w:rsid w:val="001455FE"/>
    <w:rsid w:val="00146C76"/>
    <w:rsid w:val="00150098"/>
    <w:rsid w:val="001504C5"/>
    <w:rsid w:val="00151BCE"/>
    <w:rsid w:val="00151D05"/>
    <w:rsid w:val="00152044"/>
    <w:rsid w:val="001521CF"/>
    <w:rsid w:val="00152BB5"/>
    <w:rsid w:val="00152F8D"/>
    <w:rsid w:val="00154132"/>
    <w:rsid w:val="00154871"/>
    <w:rsid w:val="001552AF"/>
    <w:rsid w:val="001553D4"/>
    <w:rsid w:val="001556A2"/>
    <w:rsid w:val="001574C0"/>
    <w:rsid w:val="001577C0"/>
    <w:rsid w:val="001600A5"/>
    <w:rsid w:val="00161A4B"/>
    <w:rsid w:val="00161BCD"/>
    <w:rsid w:val="001621D3"/>
    <w:rsid w:val="001624C5"/>
    <w:rsid w:val="00162520"/>
    <w:rsid w:val="001626DB"/>
    <w:rsid w:val="00163997"/>
    <w:rsid w:val="001641CA"/>
    <w:rsid w:val="00164D50"/>
    <w:rsid w:val="00165898"/>
    <w:rsid w:val="00165F07"/>
    <w:rsid w:val="00166C49"/>
    <w:rsid w:val="00166D0E"/>
    <w:rsid w:val="00166F5E"/>
    <w:rsid w:val="001676BD"/>
    <w:rsid w:val="0016775C"/>
    <w:rsid w:val="00167D90"/>
    <w:rsid w:val="00167F52"/>
    <w:rsid w:val="001707B5"/>
    <w:rsid w:val="001707F0"/>
    <w:rsid w:val="00170DB6"/>
    <w:rsid w:val="00171018"/>
    <w:rsid w:val="001716B1"/>
    <w:rsid w:val="00171D75"/>
    <w:rsid w:val="00172853"/>
    <w:rsid w:val="00172F6E"/>
    <w:rsid w:val="001735CE"/>
    <w:rsid w:val="00173D4D"/>
    <w:rsid w:val="001742A1"/>
    <w:rsid w:val="001742B0"/>
    <w:rsid w:val="0017437E"/>
    <w:rsid w:val="00175613"/>
    <w:rsid w:val="00175A09"/>
    <w:rsid w:val="00176595"/>
    <w:rsid w:val="001767A6"/>
    <w:rsid w:val="0017692B"/>
    <w:rsid w:val="00177802"/>
    <w:rsid w:val="00177DDE"/>
    <w:rsid w:val="001802EE"/>
    <w:rsid w:val="001807AB"/>
    <w:rsid w:val="00180EAF"/>
    <w:rsid w:val="001811E1"/>
    <w:rsid w:val="00181885"/>
    <w:rsid w:val="00181B51"/>
    <w:rsid w:val="00181B98"/>
    <w:rsid w:val="0018218E"/>
    <w:rsid w:val="0018233F"/>
    <w:rsid w:val="00182371"/>
    <w:rsid w:val="00182EA8"/>
    <w:rsid w:val="00183084"/>
    <w:rsid w:val="001832CE"/>
    <w:rsid w:val="0018374D"/>
    <w:rsid w:val="00183755"/>
    <w:rsid w:val="001837FB"/>
    <w:rsid w:val="00183D6D"/>
    <w:rsid w:val="001840B0"/>
    <w:rsid w:val="00184250"/>
    <w:rsid w:val="0018439D"/>
    <w:rsid w:val="0018591A"/>
    <w:rsid w:val="00185CEB"/>
    <w:rsid w:val="00185F85"/>
    <w:rsid w:val="001868CD"/>
    <w:rsid w:val="00186C56"/>
    <w:rsid w:val="00186CB5"/>
    <w:rsid w:val="00186CF7"/>
    <w:rsid w:val="001875A4"/>
    <w:rsid w:val="00190D51"/>
    <w:rsid w:val="00190EF6"/>
    <w:rsid w:val="001910CC"/>
    <w:rsid w:val="0019175C"/>
    <w:rsid w:val="00191919"/>
    <w:rsid w:val="001921EF"/>
    <w:rsid w:val="0019302E"/>
    <w:rsid w:val="00193541"/>
    <w:rsid w:val="0019443B"/>
    <w:rsid w:val="0019491A"/>
    <w:rsid w:val="00194E36"/>
    <w:rsid w:val="00195218"/>
    <w:rsid w:val="001962A8"/>
    <w:rsid w:val="00196C28"/>
    <w:rsid w:val="00196F85"/>
    <w:rsid w:val="00197C30"/>
    <w:rsid w:val="001A0207"/>
    <w:rsid w:val="001A0462"/>
    <w:rsid w:val="001A0905"/>
    <w:rsid w:val="001A1BA1"/>
    <w:rsid w:val="001A1D19"/>
    <w:rsid w:val="001A1EC6"/>
    <w:rsid w:val="001A27A3"/>
    <w:rsid w:val="001A30E9"/>
    <w:rsid w:val="001A4047"/>
    <w:rsid w:val="001A4BAA"/>
    <w:rsid w:val="001A4D81"/>
    <w:rsid w:val="001A6038"/>
    <w:rsid w:val="001A70BC"/>
    <w:rsid w:val="001B102B"/>
    <w:rsid w:val="001B1A1E"/>
    <w:rsid w:val="001B1B37"/>
    <w:rsid w:val="001B1C02"/>
    <w:rsid w:val="001B2B9A"/>
    <w:rsid w:val="001B2D9C"/>
    <w:rsid w:val="001B3251"/>
    <w:rsid w:val="001B358F"/>
    <w:rsid w:val="001B3F66"/>
    <w:rsid w:val="001B404C"/>
    <w:rsid w:val="001B4CF7"/>
    <w:rsid w:val="001B4DB5"/>
    <w:rsid w:val="001B583B"/>
    <w:rsid w:val="001B5C16"/>
    <w:rsid w:val="001B603F"/>
    <w:rsid w:val="001B60CC"/>
    <w:rsid w:val="001B63BA"/>
    <w:rsid w:val="001B641B"/>
    <w:rsid w:val="001B6468"/>
    <w:rsid w:val="001B70ED"/>
    <w:rsid w:val="001B721A"/>
    <w:rsid w:val="001B7449"/>
    <w:rsid w:val="001C02B2"/>
    <w:rsid w:val="001C0330"/>
    <w:rsid w:val="001C05B9"/>
    <w:rsid w:val="001C0A91"/>
    <w:rsid w:val="001C0DCC"/>
    <w:rsid w:val="001C21A3"/>
    <w:rsid w:val="001C2704"/>
    <w:rsid w:val="001C3DD3"/>
    <w:rsid w:val="001C3EA2"/>
    <w:rsid w:val="001C445A"/>
    <w:rsid w:val="001C4D2A"/>
    <w:rsid w:val="001C650A"/>
    <w:rsid w:val="001C6580"/>
    <w:rsid w:val="001C70F6"/>
    <w:rsid w:val="001C779F"/>
    <w:rsid w:val="001D0CEF"/>
    <w:rsid w:val="001D10C5"/>
    <w:rsid w:val="001D11AF"/>
    <w:rsid w:val="001D1383"/>
    <w:rsid w:val="001D13E1"/>
    <w:rsid w:val="001D22D7"/>
    <w:rsid w:val="001D2DB6"/>
    <w:rsid w:val="001D2E53"/>
    <w:rsid w:val="001D4225"/>
    <w:rsid w:val="001D5A24"/>
    <w:rsid w:val="001D5AB1"/>
    <w:rsid w:val="001D5DA3"/>
    <w:rsid w:val="001D5E2E"/>
    <w:rsid w:val="001D5E4D"/>
    <w:rsid w:val="001D6778"/>
    <w:rsid w:val="001D70F9"/>
    <w:rsid w:val="001D73D7"/>
    <w:rsid w:val="001D7795"/>
    <w:rsid w:val="001D7AA8"/>
    <w:rsid w:val="001D7EB2"/>
    <w:rsid w:val="001E12BA"/>
    <w:rsid w:val="001E1D30"/>
    <w:rsid w:val="001E321C"/>
    <w:rsid w:val="001E3344"/>
    <w:rsid w:val="001E54B6"/>
    <w:rsid w:val="001E592B"/>
    <w:rsid w:val="001E5EFB"/>
    <w:rsid w:val="001E768D"/>
    <w:rsid w:val="001E76F9"/>
    <w:rsid w:val="001E78EE"/>
    <w:rsid w:val="001E7AB7"/>
    <w:rsid w:val="001F037C"/>
    <w:rsid w:val="001F0D72"/>
    <w:rsid w:val="001F0DAE"/>
    <w:rsid w:val="001F1BEF"/>
    <w:rsid w:val="001F1CCE"/>
    <w:rsid w:val="001F203B"/>
    <w:rsid w:val="001F3368"/>
    <w:rsid w:val="001F409E"/>
    <w:rsid w:val="001F43B3"/>
    <w:rsid w:val="001F4D05"/>
    <w:rsid w:val="001F56EF"/>
    <w:rsid w:val="001F5CB9"/>
    <w:rsid w:val="001F61E6"/>
    <w:rsid w:val="001F63AE"/>
    <w:rsid w:val="001F63B5"/>
    <w:rsid w:val="001F6768"/>
    <w:rsid w:val="001F6E20"/>
    <w:rsid w:val="001F7171"/>
    <w:rsid w:val="001F7687"/>
    <w:rsid w:val="001F7B78"/>
    <w:rsid w:val="001F7CF2"/>
    <w:rsid w:val="00201394"/>
    <w:rsid w:val="00201497"/>
    <w:rsid w:val="00202B17"/>
    <w:rsid w:val="002030E7"/>
    <w:rsid w:val="0020341E"/>
    <w:rsid w:val="002039E3"/>
    <w:rsid w:val="00205B6F"/>
    <w:rsid w:val="00206EC6"/>
    <w:rsid w:val="002070D3"/>
    <w:rsid w:val="002074CF"/>
    <w:rsid w:val="002078C2"/>
    <w:rsid w:val="002100A5"/>
    <w:rsid w:val="002102F0"/>
    <w:rsid w:val="00210A29"/>
    <w:rsid w:val="0021101D"/>
    <w:rsid w:val="0021224F"/>
    <w:rsid w:val="002124D1"/>
    <w:rsid w:val="00212611"/>
    <w:rsid w:val="00212765"/>
    <w:rsid w:val="002132D2"/>
    <w:rsid w:val="002132DE"/>
    <w:rsid w:val="00213348"/>
    <w:rsid w:val="002141EB"/>
    <w:rsid w:val="00214536"/>
    <w:rsid w:val="00214AFD"/>
    <w:rsid w:val="00214B0A"/>
    <w:rsid w:val="00215B03"/>
    <w:rsid w:val="00216114"/>
    <w:rsid w:val="0021625B"/>
    <w:rsid w:val="00216F85"/>
    <w:rsid w:val="002173E5"/>
    <w:rsid w:val="00217479"/>
    <w:rsid w:val="0021765C"/>
    <w:rsid w:val="002203CF"/>
    <w:rsid w:val="00220863"/>
    <w:rsid w:val="0022101B"/>
    <w:rsid w:val="002212F9"/>
    <w:rsid w:val="002213BD"/>
    <w:rsid w:val="00221639"/>
    <w:rsid w:val="0022196F"/>
    <w:rsid w:val="0022251A"/>
    <w:rsid w:val="0022260E"/>
    <w:rsid w:val="0022295F"/>
    <w:rsid w:val="00222B67"/>
    <w:rsid w:val="00222F75"/>
    <w:rsid w:val="002234E4"/>
    <w:rsid w:val="0022409F"/>
    <w:rsid w:val="002246BA"/>
    <w:rsid w:val="002249D8"/>
    <w:rsid w:val="00224CFE"/>
    <w:rsid w:val="002252C8"/>
    <w:rsid w:val="002257D5"/>
    <w:rsid w:val="0022587A"/>
    <w:rsid w:val="00225A08"/>
    <w:rsid w:val="00225C7F"/>
    <w:rsid w:val="00227154"/>
    <w:rsid w:val="002275DC"/>
    <w:rsid w:val="00227695"/>
    <w:rsid w:val="0023015D"/>
    <w:rsid w:val="00232049"/>
    <w:rsid w:val="00232ECE"/>
    <w:rsid w:val="002331C7"/>
    <w:rsid w:val="0023352D"/>
    <w:rsid w:val="002356B5"/>
    <w:rsid w:val="00236E78"/>
    <w:rsid w:val="00237948"/>
    <w:rsid w:val="00237AA0"/>
    <w:rsid w:val="00240BE7"/>
    <w:rsid w:val="00241EA8"/>
    <w:rsid w:val="002428F9"/>
    <w:rsid w:val="00242A7B"/>
    <w:rsid w:val="00242E4B"/>
    <w:rsid w:val="002430F5"/>
    <w:rsid w:val="002463E4"/>
    <w:rsid w:val="00246AE4"/>
    <w:rsid w:val="002471F8"/>
    <w:rsid w:val="002473DB"/>
    <w:rsid w:val="00247BE9"/>
    <w:rsid w:val="00247C60"/>
    <w:rsid w:val="002500E1"/>
    <w:rsid w:val="002505C8"/>
    <w:rsid w:val="00250953"/>
    <w:rsid w:val="0025292F"/>
    <w:rsid w:val="00252A11"/>
    <w:rsid w:val="00255104"/>
    <w:rsid w:val="002558E1"/>
    <w:rsid w:val="002574B8"/>
    <w:rsid w:val="00257904"/>
    <w:rsid w:val="00260B90"/>
    <w:rsid w:val="00260D2F"/>
    <w:rsid w:val="00261F17"/>
    <w:rsid w:val="002627D5"/>
    <w:rsid w:val="00262897"/>
    <w:rsid w:val="00263709"/>
    <w:rsid w:val="002651DF"/>
    <w:rsid w:val="002652E5"/>
    <w:rsid w:val="00265BFD"/>
    <w:rsid w:val="00265DA4"/>
    <w:rsid w:val="00266497"/>
    <w:rsid w:val="0026685E"/>
    <w:rsid w:val="00267BB9"/>
    <w:rsid w:val="00270654"/>
    <w:rsid w:val="00272552"/>
    <w:rsid w:val="00272999"/>
    <w:rsid w:val="0027392F"/>
    <w:rsid w:val="002739DA"/>
    <w:rsid w:val="00273A62"/>
    <w:rsid w:val="00273CE8"/>
    <w:rsid w:val="00274708"/>
    <w:rsid w:val="00274B3F"/>
    <w:rsid w:val="0027521A"/>
    <w:rsid w:val="0027564C"/>
    <w:rsid w:val="002768FC"/>
    <w:rsid w:val="00276CB2"/>
    <w:rsid w:val="00276D60"/>
    <w:rsid w:val="0028083E"/>
    <w:rsid w:val="0028140A"/>
    <w:rsid w:val="00281F63"/>
    <w:rsid w:val="00283546"/>
    <w:rsid w:val="00283DEA"/>
    <w:rsid w:val="00284104"/>
    <w:rsid w:val="002841EC"/>
    <w:rsid w:val="00284DC4"/>
    <w:rsid w:val="00285647"/>
    <w:rsid w:val="00286840"/>
    <w:rsid w:val="00286E87"/>
    <w:rsid w:val="00286F20"/>
    <w:rsid w:val="00287342"/>
    <w:rsid w:val="00287915"/>
    <w:rsid w:val="00290F7B"/>
    <w:rsid w:val="0029111B"/>
    <w:rsid w:val="00291352"/>
    <w:rsid w:val="00292107"/>
    <w:rsid w:val="00292743"/>
    <w:rsid w:val="00293937"/>
    <w:rsid w:val="00293E7E"/>
    <w:rsid w:val="00294639"/>
    <w:rsid w:val="00294A6F"/>
    <w:rsid w:val="00294ED4"/>
    <w:rsid w:val="00295DFA"/>
    <w:rsid w:val="00295E92"/>
    <w:rsid w:val="00296513"/>
    <w:rsid w:val="00296756"/>
    <w:rsid w:val="00296838"/>
    <w:rsid w:val="00296EB7"/>
    <w:rsid w:val="00297805"/>
    <w:rsid w:val="002979BC"/>
    <w:rsid w:val="00297AB6"/>
    <w:rsid w:val="002A0035"/>
    <w:rsid w:val="002A055D"/>
    <w:rsid w:val="002A07EF"/>
    <w:rsid w:val="002A16F2"/>
    <w:rsid w:val="002A2513"/>
    <w:rsid w:val="002A353A"/>
    <w:rsid w:val="002A36BA"/>
    <w:rsid w:val="002A3B7D"/>
    <w:rsid w:val="002A41C3"/>
    <w:rsid w:val="002A4E25"/>
    <w:rsid w:val="002A56F9"/>
    <w:rsid w:val="002A5A7F"/>
    <w:rsid w:val="002A5AF8"/>
    <w:rsid w:val="002A6255"/>
    <w:rsid w:val="002A6359"/>
    <w:rsid w:val="002A64AE"/>
    <w:rsid w:val="002A6A81"/>
    <w:rsid w:val="002A713D"/>
    <w:rsid w:val="002A7162"/>
    <w:rsid w:val="002A72AE"/>
    <w:rsid w:val="002A7EEB"/>
    <w:rsid w:val="002B02E7"/>
    <w:rsid w:val="002B0403"/>
    <w:rsid w:val="002B0886"/>
    <w:rsid w:val="002B08D0"/>
    <w:rsid w:val="002B173B"/>
    <w:rsid w:val="002B2FB0"/>
    <w:rsid w:val="002B3F86"/>
    <w:rsid w:val="002B5B90"/>
    <w:rsid w:val="002B6F8C"/>
    <w:rsid w:val="002B7B23"/>
    <w:rsid w:val="002B7BAB"/>
    <w:rsid w:val="002C088F"/>
    <w:rsid w:val="002C0E1F"/>
    <w:rsid w:val="002C145F"/>
    <w:rsid w:val="002C1C36"/>
    <w:rsid w:val="002C1DBC"/>
    <w:rsid w:val="002C2D2C"/>
    <w:rsid w:val="002C36E8"/>
    <w:rsid w:val="002C38F2"/>
    <w:rsid w:val="002C43A5"/>
    <w:rsid w:val="002C4EDB"/>
    <w:rsid w:val="002C5388"/>
    <w:rsid w:val="002C55C4"/>
    <w:rsid w:val="002C5671"/>
    <w:rsid w:val="002C5DE0"/>
    <w:rsid w:val="002C62EF"/>
    <w:rsid w:val="002C6972"/>
    <w:rsid w:val="002C72CD"/>
    <w:rsid w:val="002C741C"/>
    <w:rsid w:val="002C7F8F"/>
    <w:rsid w:val="002D23EE"/>
    <w:rsid w:val="002D3056"/>
    <w:rsid w:val="002D42EA"/>
    <w:rsid w:val="002D5B16"/>
    <w:rsid w:val="002D5FDB"/>
    <w:rsid w:val="002D6AF6"/>
    <w:rsid w:val="002D759A"/>
    <w:rsid w:val="002E01CE"/>
    <w:rsid w:val="002E0BC7"/>
    <w:rsid w:val="002E1711"/>
    <w:rsid w:val="002E1E0B"/>
    <w:rsid w:val="002E2477"/>
    <w:rsid w:val="002E2E0F"/>
    <w:rsid w:val="002E466E"/>
    <w:rsid w:val="002E4729"/>
    <w:rsid w:val="002E5543"/>
    <w:rsid w:val="002E55FD"/>
    <w:rsid w:val="002E6263"/>
    <w:rsid w:val="002E7317"/>
    <w:rsid w:val="002E7CBE"/>
    <w:rsid w:val="002E7D61"/>
    <w:rsid w:val="002F023F"/>
    <w:rsid w:val="002F0422"/>
    <w:rsid w:val="002F0EBC"/>
    <w:rsid w:val="002F10BB"/>
    <w:rsid w:val="002F167F"/>
    <w:rsid w:val="002F18ED"/>
    <w:rsid w:val="002F1A2C"/>
    <w:rsid w:val="002F1D9C"/>
    <w:rsid w:val="002F254D"/>
    <w:rsid w:val="002F2DF8"/>
    <w:rsid w:val="002F3C88"/>
    <w:rsid w:val="002F421F"/>
    <w:rsid w:val="002F4692"/>
    <w:rsid w:val="002F4CB0"/>
    <w:rsid w:val="002F5ED5"/>
    <w:rsid w:val="002F5FA8"/>
    <w:rsid w:val="002F7CBF"/>
    <w:rsid w:val="003004C8"/>
    <w:rsid w:val="00301417"/>
    <w:rsid w:val="003024D6"/>
    <w:rsid w:val="00302F60"/>
    <w:rsid w:val="00302FF4"/>
    <w:rsid w:val="00303A9E"/>
    <w:rsid w:val="00303CEC"/>
    <w:rsid w:val="003041A6"/>
    <w:rsid w:val="0030423A"/>
    <w:rsid w:val="003044E5"/>
    <w:rsid w:val="00304A07"/>
    <w:rsid w:val="00305407"/>
    <w:rsid w:val="00305C17"/>
    <w:rsid w:val="00305D70"/>
    <w:rsid w:val="003063DA"/>
    <w:rsid w:val="00306717"/>
    <w:rsid w:val="00306C4B"/>
    <w:rsid w:val="00307419"/>
    <w:rsid w:val="0030751A"/>
    <w:rsid w:val="00310E4A"/>
    <w:rsid w:val="00310E92"/>
    <w:rsid w:val="00311978"/>
    <w:rsid w:val="00311EFE"/>
    <w:rsid w:val="00312CD2"/>
    <w:rsid w:val="00312ED0"/>
    <w:rsid w:val="003143C8"/>
    <w:rsid w:val="003145AC"/>
    <w:rsid w:val="003150EC"/>
    <w:rsid w:val="003158EA"/>
    <w:rsid w:val="00315A0F"/>
    <w:rsid w:val="00316B60"/>
    <w:rsid w:val="00316C5C"/>
    <w:rsid w:val="00316F0F"/>
    <w:rsid w:val="0031709E"/>
    <w:rsid w:val="00317539"/>
    <w:rsid w:val="0031756C"/>
    <w:rsid w:val="00323569"/>
    <w:rsid w:val="003236A7"/>
    <w:rsid w:val="00325C0B"/>
    <w:rsid w:val="0032601A"/>
    <w:rsid w:val="00326557"/>
    <w:rsid w:val="003269AA"/>
    <w:rsid w:val="003272BB"/>
    <w:rsid w:val="00327CE9"/>
    <w:rsid w:val="00327D29"/>
    <w:rsid w:val="00327DED"/>
    <w:rsid w:val="00330209"/>
    <w:rsid w:val="00331AB0"/>
    <w:rsid w:val="003324CA"/>
    <w:rsid w:val="00333FFD"/>
    <w:rsid w:val="003348C8"/>
    <w:rsid w:val="00334AEE"/>
    <w:rsid w:val="00334C91"/>
    <w:rsid w:val="00335F32"/>
    <w:rsid w:val="00335F5C"/>
    <w:rsid w:val="00336962"/>
    <w:rsid w:val="003371EA"/>
    <w:rsid w:val="00337A01"/>
    <w:rsid w:val="00337FB9"/>
    <w:rsid w:val="00340A5F"/>
    <w:rsid w:val="00340D67"/>
    <w:rsid w:val="003415C2"/>
    <w:rsid w:val="00341F04"/>
    <w:rsid w:val="00342FD8"/>
    <w:rsid w:val="00344C60"/>
    <w:rsid w:val="00345E30"/>
    <w:rsid w:val="003471B4"/>
    <w:rsid w:val="0034766D"/>
    <w:rsid w:val="00347870"/>
    <w:rsid w:val="00351280"/>
    <w:rsid w:val="0035136C"/>
    <w:rsid w:val="003514E3"/>
    <w:rsid w:val="00353606"/>
    <w:rsid w:val="00353DCE"/>
    <w:rsid w:val="0035499B"/>
    <w:rsid w:val="00355609"/>
    <w:rsid w:val="003556A2"/>
    <w:rsid w:val="00355962"/>
    <w:rsid w:val="0035599F"/>
    <w:rsid w:val="0035714D"/>
    <w:rsid w:val="003572BB"/>
    <w:rsid w:val="003605D5"/>
    <w:rsid w:val="003609A9"/>
    <w:rsid w:val="00360A9D"/>
    <w:rsid w:val="00360C5A"/>
    <w:rsid w:val="00361EA2"/>
    <w:rsid w:val="0036283B"/>
    <w:rsid w:val="0036318E"/>
    <w:rsid w:val="00363C85"/>
    <w:rsid w:val="00363F05"/>
    <w:rsid w:val="00365FC8"/>
    <w:rsid w:val="0036613D"/>
    <w:rsid w:val="003661F6"/>
    <w:rsid w:val="00366466"/>
    <w:rsid w:val="00366C4D"/>
    <w:rsid w:val="00367D1E"/>
    <w:rsid w:val="00367F52"/>
    <w:rsid w:val="003700C2"/>
    <w:rsid w:val="0037073D"/>
    <w:rsid w:val="0037162C"/>
    <w:rsid w:val="00372262"/>
    <w:rsid w:val="00373888"/>
    <w:rsid w:val="00373F4A"/>
    <w:rsid w:val="00374720"/>
    <w:rsid w:val="0037635F"/>
    <w:rsid w:val="0037696A"/>
    <w:rsid w:val="00376A4D"/>
    <w:rsid w:val="00376A9D"/>
    <w:rsid w:val="00376EBF"/>
    <w:rsid w:val="00380D04"/>
    <w:rsid w:val="00383071"/>
    <w:rsid w:val="003830D6"/>
    <w:rsid w:val="003839D2"/>
    <w:rsid w:val="00383A0C"/>
    <w:rsid w:val="003856A9"/>
    <w:rsid w:val="00385CA3"/>
    <w:rsid w:val="00386C8B"/>
    <w:rsid w:val="003871FB"/>
    <w:rsid w:val="00387458"/>
    <w:rsid w:val="0039096E"/>
    <w:rsid w:val="00390FCC"/>
    <w:rsid w:val="00391585"/>
    <w:rsid w:val="003915D0"/>
    <w:rsid w:val="00391B8B"/>
    <w:rsid w:val="00391C65"/>
    <w:rsid w:val="00391E7C"/>
    <w:rsid w:val="0039307F"/>
    <w:rsid w:val="003949AE"/>
    <w:rsid w:val="0039654A"/>
    <w:rsid w:val="00396FA3"/>
    <w:rsid w:val="0039753C"/>
    <w:rsid w:val="0039782D"/>
    <w:rsid w:val="00397E8C"/>
    <w:rsid w:val="003A128B"/>
    <w:rsid w:val="003A138A"/>
    <w:rsid w:val="003A1448"/>
    <w:rsid w:val="003A2847"/>
    <w:rsid w:val="003A285F"/>
    <w:rsid w:val="003A2D04"/>
    <w:rsid w:val="003A3470"/>
    <w:rsid w:val="003A347D"/>
    <w:rsid w:val="003A36ED"/>
    <w:rsid w:val="003A450B"/>
    <w:rsid w:val="003A51C4"/>
    <w:rsid w:val="003A5749"/>
    <w:rsid w:val="003A7BDF"/>
    <w:rsid w:val="003B0284"/>
    <w:rsid w:val="003B08E1"/>
    <w:rsid w:val="003B0BCD"/>
    <w:rsid w:val="003B1352"/>
    <w:rsid w:val="003B1B51"/>
    <w:rsid w:val="003B24CE"/>
    <w:rsid w:val="003B3C82"/>
    <w:rsid w:val="003B4060"/>
    <w:rsid w:val="003B4482"/>
    <w:rsid w:val="003B4616"/>
    <w:rsid w:val="003B4C29"/>
    <w:rsid w:val="003B4E86"/>
    <w:rsid w:val="003B5239"/>
    <w:rsid w:val="003B6990"/>
    <w:rsid w:val="003B6C39"/>
    <w:rsid w:val="003C06AE"/>
    <w:rsid w:val="003C0E1C"/>
    <w:rsid w:val="003C24E2"/>
    <w:rsid w:val="003C27A1"/>
    <w:rsid w:val="003C2F53"/>
    <w:rsid w:val="003C35E3"/>
    <w:rsid w:val="003C38EF"/>
    <w:rsid w:val="003C5058"/>
    <w:rsid w:val="003C53D5"/>
    <w:rsid w:val="003C5B90"/>
    <w:rsid w:val="003C5D85"/>
    <w:rsid w:val="003C68F4"/>
    <w:rsid w:val="003C7C11"/>
    <w:rsid w:val="003D2491"/>
    <w:rsid w:val="003D29A6"/>
    <w:rsid w:val="003D2CB7"/>
    <w:rsid w:val="003D4952"/>
    <w:rsid w:val="003D55B0"/>
    <w:rsid w:val="003D5602"/>
    <w:rsid w:val="003D62F6"/>
    <w:rsid w:val="003D6CAD"/>
    <w:rsid w:val="003D70BC"/>
    <w:rsid w:val="003D7529"/>
    <w:rsid w:val="003D7DA9"/>
    <w:rsid w:val="003D7FF8"/>
    <w:rsid w:val="003E027C"/>
    <w:rsid w:val="003E0AB0"/>
    <w:rsid w:val="003E122A"/>
    <w:rsid w:val="003E22DF"/>
    <w:rsid w:val="003E2D7E"/>
    <w:rsid w:val="003E2DE5"/>
    <w:rsid w:val="003E2F0B"/>
    <w:rsid w:val="003E2F72"/>
    <w:rsid w:val="003E304E"/>
    <w:rsid w:val="003E3636"/>
    <w:rsid w:val="003E4AB7"/>
    <w:rsid w:val="003E5BB8"/>
    <w:rsid w:val="003E61F2"/>
    <w:rsid w:val="003E662D"/>
    <w:rsid w:val="003E6A24"/>
    <w:rsid w:val="003E6E07"/>
    <w:rsid w:val="003E7502"/>
    <w:rsid w:val="003F1074"/>
    <w:rsid w:val="003F176F"/>
    <w:rsid w:val="003F1A91"/>
    <w:rsid w:val="003F1DF2"/>
    <w:rsid w:val="003F2228"/>
    <w:rsid w:val="003F30ED"/>
    <w:rsid w:val="003F31D7"/>
    <w:rsid w:val="003F32B8"/>
    <w:rsid w:val="003F3618"/>
    <w:rsid w:val="003F364B"/>
    <w:rsid w:val="003F4543"/>
    <w:rsid w:val="003F4B8B"/>
    <w:rsid w:val="003F5714"/>
    <w:rsid w:val="003F6603"/>
    <w:rsid w:val="003F6E97"/>
    <w:rsid w:val="003F7724"/>
    <w:rsid w:val="003F7921"/>
    <w:rsid w:val="004019DD"/>
    <w:rsid w:val="00402105"/>
    <w:rsid w:val="0040316A"/>
    <w:rsid w:val="004032A5"/>
    <w:rsid w:val="00403AA2"/>
    <w:rsid w:val="00403F2F"/>
    <w:rsid w:val="00405DBE"/>
    <w:rsid w:val="004061FB"/>
    <w:rsid w:val="0040650C"/>
    <w:rsid w:val="00407210"/>
    <w:rsid w:val="00407B2C"/>
    <w:rsid w:val="00407D2D"/>
    <w:rsid w:val="00410125"/>
    <w:rsid w:val="004103BD"/>
    <w:rsid w:val="00410F83"/>
    <w:rsid w:val="00411404"/>
    <w:rsid w:val="00412045"/>
    <w:rsid w:val="00412359"/>
    <w:rsid w:val="004124F8"/>
    <w:rsid w:val="0041266C"/>
    <w:rsid w:val="00413356"/>
    <w:rsid w:val="00413640"/>
    <w:rsid w:val="00414172"/>
    <w:rsid w:val="0041423E"/>
    <w:rsid w:val="00416322"/>
    <w:rsid w:val="00416AE1"/>
    <w:rsid w:val="00416E96"/>
    <w:rsid w:val="0041737E"/>
    <w:rsid w:val="00417D49"/>
    <w:rsid w:val="00417EF6"/>
    <w:rsid w:val="00420F12"/>
    <w:rsid w:val="00420F61"/>
    <w:rsid w:val="00421416"/>
    <w:rsid w:val="004216B6"/>
    <w:rsid w:val="00421742"/>
    <w:rsid w:val="0042177C"/>
    <w:rsid w:val="0042351F"/>
    <w:rsid w:val="00425B7D"/>
    <w:rsid w:val="00426C68"/>
    <w:rsid w:val="00427D0D"/>
    <w:rsid w:val="00430368"/>
    <w:rsid w:val="004303A0"/>
    <w:rsid w:val="00430A57"/>
    <w:rsid w:val="00430DF3"/>
    <w:rsid w:val="00430E88"/>
    <w:rsid w:val="004328BF"/>
    <w:rsid w:val="00433623"/>
    <w:rsid w:val="004349BE"/>
    <w:rsid w:val="004354B5"/>
    <w:rsid w:val="004357F0"/>
    <w:rsid w:val="00435800"/>
    <w:rsid w:val="0043609A"/>
    <w:rsid w:val="00436B7E"/>
    <w:rsid w:val="0043730F"/>
    <w:rsid w:val="004374F3"/>
    <w:rsid w:val="00437699"/>
    <w:rsid w:val="004404DE"/>
    <w:rsid w:val="00441C11"/>
    <w:rsid w:val="00442AA3"/>
    <w:rsid w:val="0044338B"/>
    <w:rsid w:val="0044377B"/>
    <w:rsid w:val="00443CBC"/>
    <w:rsid w:val="004441D9"/>
    <w:rsid w:val="00444695"/>
    <w:rsid w:val="0044477C"/>
    <w:rsid w:val="00445A24"/>
    <w:rsid w:val="00445D47"/>
    <w:rsid w:val="0044698D"/>
    <w:rsid w:val="00446ADE"/>
    <w:rsid w:val="00446BAD"/>
    <w:rsid w:val="00446D8B"/>
    <w:rsid w:val="00447906"/>
    <w:rsid w:val="0045170F"/>
    <w:rsid w:val="004529DF"/>
    <w:rsid w:val="00452D7E"/>
    <w:rsid w:val="0045322C"/>
    <w:rsid w:val="00453C1F"/>
    <w:rsid w:val="00455545"/>
    <w:rsid w:val="00455797"/>
    <w:rsid w:val="004560C0"/>
    <w:rsid w:val="004563D8"/>
    <w:rsid w:val="00457203"/>
    <w:rsid w:val="00457C15"/>
    <w:rsid w:val="004600A4"/>
    <w:rsid w:val="004601E8"/>
    <w:rsid w:val="004602B6"/>
    <w:rsid w:val="00460667"/>
    <w:rsid w:val="004609E8"/>
    <w:rsid w:val="00460A7F"/>
    <w:rsid w:val="00460C94"/>
    <w:rsid w:val="00460F0A"/>
    <w:rsid w:val="0046135F"/>
    <w:rsid w:val="004613DB"/>
    <w:rsid w:val="00461877"/>
    <w:rsid w:val="00461CAF"/>
    <w:rsid w:val="00461DBC"/>
    <w:rsid w:val="00462FDC"/>
    <w:rsid w:val="00463146"/>
    <w:rsid w:val="00463BFF"/>
    <w:rsid w:val="00463CCF"/>
    <w:rsid w:val="00463F75"/>
    <w:rsid w:val="00463FD0"/>
    <w:rsid w:val="00464128"/>
    <w:rsid w:val="0046441F"/>
    <w:rsid w:val="0046474A"/>
    <w:rsid w:val="004650F1"/>
    <w:rsid w:val="004658F4"/>
    <w:rsid w:val="00466165"/>
    <w:rsid w:val="004661BF"/>
    <w:rsid w:val="0046636D"/>
    <w:rsid w:val="00466438"/>
    <w:rsid w:val="00466CA7"/>
    <w:rsid w:val="00466D30"/>
    <w:rsid w:val="004674A3"/>
    <w:rsid w:val="00470146"/>
    <w:rsid w:val="00471317"/>
    <w:rsid w:val="004714C8"/>
    <w:rsid w:val="00471A17"/>
    <w:rsid w:val="0047218C"/>
    <w:rsid w:val="00472737"/>
    <w:rsid w:val="00473980"/>
    <w:rsid w:val="00474F9F"/>
    <w:rsid w:val="00474FB0"/>
    <w:rsid w:val="00475554"/>
    <w:rsid w:val="00475783"/>
    <w:rsid w:val="00477191"/>
    <w:rsid w:val="004800E3"/>
    <w:rsid w:val="00481403"/>
    <w:rsid w:val="00481A91"/>
    <w:rsid w:val="00481D29"/>
    <w:rsid w:val="00482B81"/>
    <w:rsid w:val="004831CB"/>
    <w:rsid w:val="00483580"/>
    <w:rsid w:val="00483A4D"/>
    <w:rsid w:val="00483A89"/>
    <w:rsid w:val="00483DA1"/>
    <w:rsid w:val="0048440C"/>
    <w:rsid w:val="00484982"/>
    <w:rsid w:val="00485A05"/>
    <w:rsid w:val="00485C89"/>
    <w:rsid w:val="00485CD0"/>
    <w:rsid w:val="0048707A"/>
    <w:rsid w:val="004873E0"/>
    <w:rsid w:val="00487403"/>
    <w:rsid w:val="00487A8A"/>
    <w:rsid w:val="00487E93"/>
    <w:rsid w:val="0049005A"/>
    <w:rsid w:val="0049073A"/>
    <w:rsid w:val="00490F58"/>
    <w:rsid w:val="004913DD"/>
    <w:rsid w:val="00491590"/>
    <w:rsid w:val="00491CED"/>
    <w:rsid w:val="004921E8"/>
    <w:rsid w:val="00492D8D"/>
    <w:rsid w:val="004931E4"/>
    <w:rsid w:val="00493C9A"/>
    <w:rsid w:val="004955F5"/>
    <w:rsid w:val="004A0C05"/>
    <w:rsid w:val="004A20CE"/>
    <w:rsid w:val="004A21AB"/>
    <w:rsid w:val="004A29C6"/>
    <w:rsid w:val="004A2B72"/>
    <w:rsid w:val="004A44C6"/>
    <w:rsid w:val="004A475F"/>
    <w:rsid w:val="004A4E8D"/>
    <w:rsid w:val="004A59C2"/>
    <w:rsid w:val="004A6298"/>
    <w:rsid w:val="004A6BC8"/>
    <w:rsid w:val="004A75A7"/>
    <w:rsid w:val="004B0D2B"/>
    <w:rsid w:val="004B1281"/>
    <w:rsid w:val="004B3214"/>
    <w:rsid w:val="004B4BBF"/>
    <w:rsid w:val="004B5164"/>
    <w:rsid w:val="004B556E"/>
    <w:rsid w:val="004B5868"/>
    <w:rsid w:val="004B5991"/>
    <w:rsid w:val="004B67AB"/>
    <w:rsid w:val="004B6C9C"/>
    <w:rsid w:val="004B76BF"/>
    <w:rsid w:val="004B788B"/>
    <w:rsid w:val="004C0174"/>
    <w:rsid w:val="004C0240"/>
    <w:rsid w:val="004C02A6"/>
    <w:rsid w:val="004C05A3"/>
    <w:rsid w:val="004C12B9"/>
    <w:rsid w:val="004C185F"/>
    <w:rsid w:val="004C1D80"/>
    <w:rsid w:val="004C40DD"/>
    <w:rsid w:val="004C43DA"/>
    <w:rsid w:val="004C59DD"/>
    <w:rsid w:val="004C5ADB"/>
    <w:rsid w:val="004C5DD5"/>
    <w:rsid w:val="004C616F"/>
    <w:rsid w:val="004C6269"/>
    <w:rsid w:val="004C66C9"/>
    <w:rsid w:val="004C7785"/>
    <w:rsid w:val="004C7B32"/>
    <w:rsid w:val="004C7CA2"/>
    <w:rsid w:val="004C7E32"/>
    <w:rsid w:val="004D04B3"/>
    <w:rsid w:val="004D0A4F"/>
    <w:rsid w:val="004D136D"/>
    <w:rsid w:val="004D157B"/>
    <w:rsid w:val="004D16A8"/>
    <w:rsid w:val="004D1D86"/>
    <w:rsid w:val="004D23B4"/>
    <w:rsid w:val="004D2839"/>
    <w:rsid w:val="004D2BF4"/>
    <w:rsid w:val="004D36D2"/>
    <w:rsid w:val="004D3D65"/>
    <w:rsid w:val="004D3F7A"/>
    <w:rsid w:val="004D400D"/>
    <w:rsid w:val="004D4FD6"/>
    <w:rsid w:val="004D513D"/>
    <w:rsid w:val="004D5489"/>
    <w:rsid w:val="004D559E"/>
    <w:rsid w:val="004D61F1"/>
    <w:rsid w:val="004D6C3D"/>
    <w:rsid w:val="004D7322"/>
    <w:rsid w:val="004D77FF"/>
    <w:rsid w:val="004E02BE"/>
    <w:rsid w:val="004E04DD"/>
    <w:rsid w:val="004E07B0"/>
    <w:rsid w:val="004E118F"/>
    <w:rsid w:val="004E158A"/>
    <w:rsid w:val="004E1B4F"/>
    <w:rsid w:val="004E1D71"/>
    <w:rsid w:val="004E1FDF"/>
    <w:rsid w:val="004E2EF5"/>
    <w:rsid w:val="004E3112"/>
    <w:rsid w:val="004E33B9"/>
    <w:rsid w:val="004E3591"/>
    <w:rsid w:val="004E3605"/>
    <w:rsid w:val="004F0713"/>
    <w:rsid w:val="004F09AE"/>
    <w:rsid w:val="004F1207"/>
    <w:rsid w:val="004F3187"/>
    <w:rsid w:val="004F42CE"/>
    <w:rsid w:val="004F43F0"/>
    <w:rsid w:val="004F6C1B"/>
    <w:rsid w:val="004F6E01"/>
    <w:rsid w:val="004F702D"/>
    <w:rsid w:val="004F7783"/>
    <w:rsid w:val="004F7B26"/>
    <w:rsid w:val="00500786"/>
    <w:rsid w:val="00500A42"/>
    <w:rsid w:val="005011FE"/>
    <w:rsid w:val="00501DAF"/>
    <w:rsid w:val="00502151"/>
    <w:rsid w:val="0050227E"/>
    <w:rsid w:val="005032E4"/>
    <w:rsid w:val="005035EB"/>
    <w:rsid w:val="005052BB"/>
    <w:rsid w:val="005053B1"/>
    <w:rsid w:val="005059F2"/>
    <w:rsid w:val="00505D8A"/>
    <w:rsid w:val="00506A5B"/>
    <w:rsid w:val="00506E46"/>
    <w:rsid w:val="00507240"/>
    <w:rsid w:val="00507643"/>
    <w:rsid w:val="005078B4"/>
    <w:rsid w:val="00510348"/>
    <w:rsid w:val="0051057F"/>
    <w:rsid w:val="00511142"/>
    <w:rsid w:val="005119D9"/>
    <w:rsid w:val="00512B62"/>
    <w:rsid w:val="00513083"/>
    <w:rsid w:val="0051308A"/>
    <w:rsid w:val="00513308"/>
    <w:rsid w:val="00515838"/>
    <w:rsid w:val="005158D7"/>
    <w:rsid w:val="00515C50"/>
    <w:rsid w:val="0051627F"/>
    <w:rsid w:val="0051663F"/>
    <w:rsid w:val="005167CB"/>
    <w:rsid w:val="00516F5C"/>
    <w:rsid w:val="00517646"/>
    <w:rsid w:val="0051767B"/>
    <w:rsid w:val="00517A19"/>
    <w:rsid w:val="00517CF7"/>
    <w:rsid w:val="00522FB3"/>
    <w:rsid w:val="005242E9"/>
    <w:rsid w:val="00524986"/>
    <w:rsid w:val="005250AA"/>
    <w:rsid w:val="0052569C"/>
    <w:rsid w:val="0052661B"/>
    <w:rsid w:val="00526E25"/>
    <w:rsid w:val="00527236"/>
    <w:rsid w:val="0052774A"/>
    <w:rsid w:val="005277E6"/>
    <w:rsid w:val="00531CB2"/>
    <w:rsid w:val="00531E1E"/>
    <w:rsid w:val="00532498"/>
    <w:rsid w:val="00533341"/>
    <w:rsid w:val="00534933"/>
    <w:rsid w:val="0053586F"/>
    <w:rsid w:val="00535E8F"/>
    <w:rsid w:val="005367B3"/>
    <w:rsid w:val="00536CE5"/>
    <w:rsid w:val="00536F3C"/>
    <w:rsid w:val="00537418"/>
    <w:rsid w:val="00537AFC"/>
    <w:rsid w:val="00540EE4"/>
    <w:rsid w:val="00542261"/>
    <w:rsid w:val="00542430"/>
    <w:rsid w:val="00542CA8"/>
    <w:rsid w:val="005431CB"/>
    <w:rsid w:val="005435B1"/>
    <w:rsid w:val="005438D8"/>
    <w:rsid w:val="00543FD5"/>
    <w:rsid w:val="005440E2"/>
    <w:rsid w:val="0054414B"/>
    <w:rsid w:val="00544969"/>
    <w:rsid w:val="005458A8"/>
    <w:rsid w:val="005463A7"/>
    <w:rsid w:val="00546907"/>
    <w:rsid w:val="00547528"/>
    <w:rsid w:val="00547B16"/>
    <w:rsid w:val="00547D85"/>
    <w:rsid w:val="00547F68"/>
    <w:rsid w:val="005522B5"/>
    <w:rsid w:val="005525F2"/>
    <w:rsid w:val="00552DEB"/>
    <w:rsid w:val="00553243"/>
    <w:rsid w:val="00553CD5"/>
    <w:rsid w:val="00554954"/>
    <w:rsid w:val="005565B7"/>
    <w:rsid w:val="0055681A"/>
    <w:rsid w:val="00560C3A"/>
    <w:rsid w:val="005611CF"/>
    <w:rsid w:val="00561912"/>
    <w:rsid w:val="00562521"/>
    <w:rsid w:val="00563AC3"/>
    <w:rsid w:val="00563D42"/>
    <w:rsid w:val="005643D5"/>
    <w:rsid w:val="00564436"/>
    <w:rsid w:val="00564790"/>
    <w:rsid w:val="00565884"/>
    <w:rsid w:val="0056665E"/>
    <w:rsid w:val="005666CA"/>
    <w:rsid w:val="005669E9"/>
    <w:rsid w:val="00566B9C"/>
    <w:rsid w:val="00566BA9"/>
    <w:rsid w:val="00566DC9"/>
    <w:rsid w:val="005670CC"/>
    <w:rsid w:val="00567798"/>
    <w:rsid w:val="00567A86"/>
    <w:rsid w:val="005733A1"/>
    <w:rsid w:val="00573618"/>
    <w:rsid w:val="00574992"/>
    <w:rsid w:val="00575EF9"/>
    <w:rsid w:val="0057613C"/>
    <w:rsid w:val="0057689F"/>
    <w:rsid w:val="00576E30"/>
    <w:rsid w:val="00576F85"/>
    <w:rsid w:val="00576FA3"/>
    <w:rsid w:val="0057774F"/>
    <w:rsid w:val="00581304"/>
    <w:rsid w:val="005821BA"/>
    <w:rsid w:val="00582885"/>
    <w:rsid w:val="0058336D"/>
    <w:rsid w:val="005834F6"/>
    <w:rsid w:val="00583853"/>
    <w:rsid w:val="005841A9"/>
    <w:rsid w:val="005849F6"/>
    <w:rsid w:val="00584BE8"/>
    <w:rsid w:val="00584C27"/>
    <w:rsid w:val="0058522F"/>
    <w:rsid w:val="0058640F"/>
    <w:rsid w:val="005864F2"/>
    <w:rsid w:val="00586909"/>
    <w:rsid w:val="005878B6"/>
    <w:rsid w:val="0059002A"/>
    <w:rsid w:val="00590B4A"/>
    <w:rsid w:val="00591A34"/>
    <w:rsid w:val="00592C02"/>
    <w:rsid w:val="005935D2"/>
    <w:rsid w:val="00594CD0"/>
    <w:rsid w:val="00595681"/>
    <w:rsid w:val="005956AF"/>
    <w:rsid w:val="00595AC4"/>
    <w:rsid w:val="005963FD"/>
    <w:rsid w:val="005974B6"/>
    <w:rsid w:val="005A0614"/>
    <w:rsid w:val="005A1C99"/>
    <w:rsid w:val="005A1D28"/>
    <w:rsid w:val="005A2455"/>
    <w:rsid w:val="005A29B5"/>
    <w:rsid w:val="005A2D02"/>
    <w:rsid w:val="005A46CB"/>
    <w:rsid w:val="005A4913"/>
    <w:rsid w:val="005A5C2C"/>
    <w:rsid w:val="005A5D3E"/>
    <w:rsid w:val="005A640B"/>
    <w:rsid w:val="005A6BA8"/>
    <w:rsid w:val="005A6C1C"/>
    <w:rsid w:val="005A7982"/>
    <w:rsid w:val="005B0033"/>
    <w:rsid w:val="005B0444"/>
    <w:rsid w:val="005B22E7"/>
    <w:rsid w:val="005B39F8"/>
    <w:rsid w:val="005B4B9A"/>
    <w:rsid w:val="005B53FD"/>
    <w:rsid w:val="005B5C89"/>
    <w:rsid w:val="005B5EF6"/>
    <w:rsid w:val="005B6945"/>
    <w:rsid w:val="005B7C01"/>
    <w:rsid w:val="005C09FB"/>
    <w:rsid w:val="005C0A2B"/>
    <w:rsid w:val="005C26EA"/>
    <w:rsid w:val="005C2D2A"/>
    <w:rsid w:val="005C33BD"/>
    <w:rsid w:val="005C33C7"/>
    <w:rsid w:val="005C49BC"/>
    <w:rsid w:val="005C5CF8"/>
    <w:rsid w:val="005C5D11"/>
    <w:rsid w:val="005C5D1F"/>
    <w:rsid w:val="005C5EA8"/>
    <w:rsid w:val="005D1B3A"/>
    <w:rsid w:val="005D1F83"/>
    <w:rsid w:val="005D2617"/>
    <w:rsid w:val="005D2A54"/>
    <w:rsid w:val="005D2D65"/>
    <w:rsid w:val="005D497A"/>
    <w:rsid w:val="005D49D0"/>
    <w:rsid w:val="005D5026"/>
    <w:rsid w:val="005D5113"/>
    <w:rsid w:val="005D563D"/>
    <w:rsid w:val="005D5982"/>
    <w:rsid w:val="005D5E2C"/>
    <w:rsid w:val="005D6792"/>
    <w:rsid w:val="005D6F3C"/>
    <w:rsid w:val="005D7BCC"/>
    <w:rsid w:val="005D7F22"/>
    <w:rsid w:val="005E073C"/>
    <w:rsid w:val="005E16F0"/>
    <w:rsid w:val="005E2A0F"/>
    <w:rsid w:val="005E2BE6"/>
    <w:rsid w:val="005E2CDA"/>
    <w:rsid w:val="005E30A3"/>
    <w:rsid w:val="005E33E5"/>
    <w:rsid w:val="005E3684"/>
    <w:rsid w:val="005E3B03"/>
    <w:rsid w:val="005E3B32"/>
    <w:rsid w:val="005E4044"/>
    <w:rsid w:val="005E4193"/>
    <w:rsid w:val="005E50D5"/>
    <w:rsid w:val="005E5205"/>
    <w:rsid w:val="005E640C"/>
    <w:rsid w:val="005E6471"/>
    <w:rsid w:val="005E6640"/>
    <w:rsid w:val="005E7089"/>
    <w:rsid w:val="005F019E"/>
    <w:rsid w:val="005F053A"/>
    <w:rsid w:val="005F055E"/>
    <w:rsid w:val="005F0877"/>
    <w:rsid w:val="005F20D0"/>
    <w:rsid w:val="005F28C8"/>
    <w:rsid w:val="005F2C3F"/>
    <w:rsid w:val="005F3671"/>
    <w:rsid w:val="005F377C"/>
    <w:rsid w:val="005F474E"/>
    <w:rsid w:val="005F4992"/>
    <w:rsid w:val="005F4A0E"/>
    <w:rsid w:val="005F4BE6"/>
    <w:rsid w:val="005F5AE2"/>
    <w:rsid w:val="005F60F9"/>
    <w:rsid w:val="005F66F8"/>
    <w:rsid w:val="005F6EC6"/>
    <w:rsid w:val="005F70C9"/>
    <w:rsid w:val="005F790A"/>
    <w:rsid w:val="00602858"/>
    <w:rsid w:val="00602CF0"/>
    <w:rsid w:val="00602EA9"/>
    <w:rsid w:val="006038E9"/>
    <w:rsid w:val="00603CDF"/>
    <w:rsid w:val="00605167"/>
    <w:rsid w:val="0060659C"/>
    <w:rsid w:val="00606BBE"/>
    <w:rsid w:val="0060725D"/>
    <w:rsid w:val="00607289"/>
    <w:rsid w:val="00610769"/>
    <w:rsid w:val="00610BB4"/>
    <w:rsid w:val="00612944"/>
    <w:rsid w:val="00612A45"/>
    <w:rsid w:val="00613E03"/>
    <w:rsid w:val="006142B7"/>
    <w:rsid w:val="00614603"/>
    <w:rsid w:val="00616242"/>
    <w:rsid w:val="00620633"/>
    <w:rsid w:val="00620FB4"/>
    <w:rsid w:val="00621786"/>
    <w:rsid w:val="0062190D"/>
    <w:rsid w:val="00622251"/>
    <w:rsid w:val="00622CE1"/>
    <w:rsid w:val="0062393C"/>
    <w:rsid w:val="00624564"/>
    <w:rsid w:val="00624B85"/>
    <w:rsid w:val="00624FFC"/>
    <w:rsid w:val="00625490"/>
    <w:rsid w:val="006261EB"/>
    <w:rsid w:val="006266E4"/>
    <w:rsid w:val="0062704F"/>
    <w:rsid w:val="00627830"/>
    <w:rsid w:val="00627E9F"/>
    <w:rsid w:val="00630E56"/>
    <w:rsid w:val="00630EB4"/>
    <w:rsid w:val="00631121"/>
    <w:rsid w:val="0063113A"/>
    <w:rsid w:val="006313D8"/>
    <w:rsid w:val="00631BC3"/>
    <w:rsid w:val="00633801"/>
    <w:rsid w:val="00633D4E"/>
    <w:rsid w:val="00634591"/>
    <w:rsid w:val="00634FD3"/>
    <w:rsid w:val="0063525E"/>
    <w:rsid w:val="006353FD"/>
    <w:rsid w:val="00635A8B"/>
    <w:rsid w:val="00636756"/>
    <w:rsid w:val="0063682C"/>
    <w:rsid w:val="00636BAD"/>
    <w:rsid w:val="00636C3D"/>
    <w:rsid w:val="00636E4F"/>
    <w:rsid w:val="0063787F"/>
    <w:rsid w:val="0064009E"/>
    <w:rsid w:val="00640404"/>
    <w:rsid w:val="0064127E"/>
    <w:rsid w:val="0064173A"/>
    <w:rsid w:val="0064298E"/>
    <w:rsid w:val="00643281"/>
    <w:rsid w:val="00643E19"/>
    <w:rsid w:val="00644C4D"/>
    <w:rsid w:val="00644E34"/>
    <w:rsid w:val="00645903"/>
    <w:rsid w:val="00645E64"/>
    <w:rsid w:val="00647135"/>
    <w:rsid w:val="006471AF"/>
    <w:rsid w:val="006476BA"/>
    <w:rsid w:val="006476C4"/>
    <w:rsid w:val="006477D8"/>
    <w:rsid w:val="00650958"/>
    <w:rsid w:val="00650C1C"/>
    <w:rsid w:val="006510FB"/>
    <w:rsid w:val="00651415"/>
    <w:rsid w:val="00651580"/>
    <w:rsid w:val="0065195E"/>
    <w:rsid w:val="00651AD8"/>
    <w:rsid w:val="00651C04"/>
    <w:rsid w:val="0065202F"/>
    <w:rsid w:val="00652685"/>
    <w:rsid w:val="006532B4"/>
    <w:rsid w:val="00653BF9"/>
    <w:rsid w:val="00654DAB"/>
    <w:rsid w:val="00655192"/>
    <w:rsid w:val="006551FD"/>
    <w:rsid w:val="006552A4"/>
    <w:rsid w:val="00655799"/>
    <w:rsid w:val="00655A44"/>
    <w:rsid w:val="00655EA1"/>
    <w:rsid w:val="006560EF"/>
    <w:rsid w:val="006569C7"/>
    <w:rsid w:val="00656A13"/>
    <w:rsid w:val="00656DC5"/>
    <w:rsid w:val="0066001F"/>
    <w:rsid w:val="006605EF"/>
    <w:rsid w:val="00660709"/>
    <w:rsid w:val="00660D18"/>
    <w:rsid w:val="00661593"/>
    <w:rsid w:val="00662316"/>
    <w:rsid w:val="0066307E"/>
    <w:rsid w:val="00663C30"/>
    <w:rsid w:val="006652D3"/>
    <w:rsid w:val="00665A84"/>
    <w:rsid w:val="00665F2D"/>
    <w:rsid w:val="006661ED"/>
    <w:rsid w:val="00666FF1"/>
    <w:rsid w:val="0066770C"/>
    <w:rsid w:val="00667A9C"/>
    <w:rsid w:val="0067006E"/>
    <w:rsid w:val="0067038C"/>
    <w:rsid w:val="00670B24"/>
    <w:rsid w:val="00670B37"/>
    <w:rsid w:val="00670B8E"/>
    <w:rsid w:val="0067171D"/>
    <w:rsid w:val="00671F99"/>
    <w:rsid w:val="00672607"/>
    <w:rsid w:val="00672718"/>
    <w:rsid w:val="006741C4"/>
    <w:rsid w:val="006741CE"/>
    <w:rsid w:val="006746E1"/>
    <w:rsid w:val="00675395"/>
    <w:rsid w:val="0067572D"/>
    <w:rsid w:val="00675EBA"/>
    <w:rsid w:val="00676C0E"/>
    <w:rsid w:val="00676E9B"/>
    <w:rsid w:val="00680576"/>
    <w:rsid w:val="006806D2"/>
    <w:rsid w:val="00680AFC"/>
    <w:rsid w:val="0068133F"/>
    <w:rsid w:val="00681E63"/>
    <w:rsid w:val="006826B3"/>
    <w:rsid w:val="0068375F"/>
    <w:rsid w:val="00683823"/>
    <w:rsid w:val="00683B55"/>
    <w:rsid w:val="00683D97"/>
    <w:rsid w:val="0068478A"/>
    <w:rsid w:val="006848FA"/>
    <w:rsid w:val="00685137"/>
    <w:rsid w:val="006858BF"/>
    <w:rsid w:val="00685AAA"/>
    <w:rsid w:val="00685CA6"/>
    <w:rsid w:val="00686A11"/>
    <w:rsid w:val="00687551"/>
    <w:rsid w:val="00687885"/>
    <w:rsid w:val="00687D3E"/>
    <w:rsid w:val="00690225"/>
    <w:rsid w:val="00690391"/>
    <w:rsid w:val="00691324"/>
    <w:rsid w:val="006913E9"/>
    <w:rsid w:val="006913F9"/>
    <w:rsid w:val="00691ACC"/>
    <w:rsid w:val="0069205B"/>
    <w:rsid w:val="006924D0"/>
    <w:rsid w:val="006938C6"/>
    <w:rsid w:val="00694013"/>
    <w:rsid w:val="006941DC"/>
    <w:rsid w:val="006943A0"/>
    <w:rsid w:val="006948C1"/>
    <w:rsid w:val="00694CED"/>
    <w:rsid w:val="0069566A"/>
    <w:rsid w:val="006963C1"/>
    <w:rsid w:val="0069677B"/>
    <w:rsid w:val="00697490"/>
    <w:rsid w:val="0069791B"/>
    <w:rsid w:val="00697EE5"/>
    <w:rsid w:val="006A0F94"/>
    <w:rsid w:val="006A1213"/>
    <w:rsid w:val="006A215E"/>
    <w:rsid w:val="006A2F9A"/>
    <w:rsid w:val="006A3C2E"/>
    <w:rsid w:val="006A5527"/>
    <w:rsid w:val="006A586B"/>
    <w:rsid w:val="006A62DA"/>
    <w:rsid w:val="006A6305"/>
    <w:rsid w:val="006A635E"/>
    <w:rsid w:val="006A781E"/>
    <w:rsid w:val="006B0048"/>
    <w:rsid w:val="006B044A"/>
    <w:rsid w:val="006B055B"/>
    <w:rsid w:val="006B0710"/>
    <w:rsid w:val="006B086B"/>
    <w:rsid w:val="006B08AF"/>
    <w:rsid w:val="006B16A0"/>
    <w:rsid w:val="006B186D"/>
    <w:rsid w:val="006B1FD5"/>
    <w:rsid w:val="006B2A8C"/>
    <w:rsid w:val="006B2F16"/>
    <w:rsid w:val="006B3161"/>
    <w:rsid w:val="006B35BF"/>
    <w:rsid w:val="006B369B"/>
    <w:rsid w:val="006B36B8"/>
    <w:rsid w:val="006B3B1F"/>
    <w:rsid w:val="006B3B38"/>
    <w:rsid w:val="006B4725"/>
    <w:rsid w:val="006B47CA"/>
    <w:rsid w:val="006B4870"/>
    <w:rsid w:val="006B4B9A"/>
    <w:rsid w:val="006B4ED6"/>
    <w:rsid w:val="006B5CF6"/>
    <w:rsid w:val="006B5E79"/>
    <w:rsid w:val="006B6714"/>
    <w:rsid w:val="006B6A87"/>
    <w:rsid w:val="006C0A11"/>
    <w:rsid w:val="006C0D81"/>
    <w:rsid w:val="006C12BC"/>
    <w:rsid w:val="006C24E2"/>
    <w:rsid w:val="006C28F3"/>
    <w:rsid w:val="006C2932"/>
    <w:rsid w:val="006C2B2C"/>
    <w:rsid w:val="006C34E5"/>
    <w:rsid w:val="006C36C8"/>
    <w:rsid w:val="006C3867"/>
    <w:rsid w:val="006C3885"/>
    <w:rsid w:val="006C3C15"/>
    <w:rsid w:val="006C3D94"/>
    <w:rsid w:val="006C3FD7"/>
    <w:rsid w:val="006C446D"/>
    <w:rsid w:val="006C4E6D"/>
    <w:rsid w:val="006C4EA2"/>
    <w:rsid w:val="006C54FA"/>
    <w:rsid w:val="006C5709"/>
    <w:rsid w:val="006C589A"/>
    <w:rsid w:val="006C599C"/>
    <w:rsid w:val="006C5C18"/>
    <w:rsid w:val="006C6057"/>
    <w:rsid w:val="006C63F2"/>
    <w:rsid w:val="006C6674"/>
    <w:rsid w:val="006C6C7C"/>
    <w:rsid w:val="006C710A"/>
    <w:rsid w:val="006C72E3"/>
    <w:rsid w:val="006C7327"/>
    <w:rsid w:val="006C760D"/>
    <w:rsid w:val="006C7CAD"/>
    <w:rsid w:val="006D00E5"/>
    <w:rsid w:val="006D04B4"/>
    <w:rsid w:val="006D0D5A"/>
    <w:rsid w:val="006D0EF5"/>
    <w:rsid w:val="006D1259"/>
    <w:rsid w:val="006D3419"/>
    <w:rsid w:val="006D3F63"/>
    <w:rsid w:val="006D49AA"/>
    <w:rsid w:val="006D4B33"/>
    <w:rsid w:val="006D5D9E"/>
    <w:rsid w:val="006D6AEC"/>
    <w:rsid w:val="006D6CA5"/>
    <w:rsid w:val="006D7C05"/>
    <w:rsid w:val="006D7FED"/>
    <w:rsid w:val="006E0576"/>
    <w:rsid w:val="006E064F"/>
    <w:rsid w:val="006E0653"/>
    <w:rsid w:val="006E0F0F"/>
    <w:rsid w:val="006E1237"/>
    <w:rsid w:val="006E15CF"/>
    <w:rsid w:val="006E15FB"/>
    <w:rsid w:val="006E1EC8"/>
    <w:rsid w:val="006E272A"/>
    <w:rsid w:val="006E2762"/>
    <w:rsid w:val="006E2FB2"/>
    <w:rsid w:val="006E31E2"/>
    <w:rsid w:val="006E4296"/>
    <w:rsid w:val="006E4E7A"/>
    <w:rsid w:val="006E4EEC"/>
    <w:rsid w:val="006E6C84"/>
    <w:rsid w:val="006E6F20"/>
    <w:rsid w:val="006E7376"/>
    <w:rsid w:val="006F00EE"/>
    <w:rsid w:val="006F0279"/>
    <w:rsid w:val="006F0FA4"/>
    <w:rsid w:val="006F15D1"/>
    <w:rsid w:val="006F1B33"/>
    <w:rsid w:val="006F4781"/>
    <w:rsid w:val="006F6DCC"/>
    <w:rsid w:val="006F7BD7"/>
    <w:rsid w:val="0070095C"/>
    <w:rsid w:val="00700D95"/>
    <w:rsid w:val="0070102A"/>
    <w:rsid w:val="00701ACC"/>
    <w:rsid w:val="00702FAC"/>
    <w:rsid w:val="0070309E"/>
    <w:rsid w:val="007034FB"/>
    <w:rsid w:val="00704F46"/>
    <w:rsid w:val="00705D7E"/>
    <w:rsid w:val="00706B8A"/>
    <w:rsid w:val="00707488"/>
    <w:rsid w:val="00707E87"/>
    <w:rsid w:val="00711213"/>
    <w:rsid w:val="007113D4"/>
    <w:rsid w:val="007114F4"/>
    <w:rsid w:val="007133C7"/>
    <w:rsid w:val="00713697"/>
    <w:rsid w:val="00713B06"/>
    <w:rsid w:val="00713FBC"/>
    <w:rsid w:val="0071432C"/>
    <w:rsid w:val="007147DB"/>
    <w:rsid w:val="00714C7C"/>
    <w:rsid w:val="00714F32"/>
    <w:rsid w:val="00715288"/>
    <w:rsid w:val="00715A58"/>
    <w:rsid w:val="007164B1"/>
    <w:rsid w:val="007165AD"/>
    <w:rsid w:val="00716C22"/>
    <w:rsid w:val="00717F2A"/>
    <w:rsid w:val="00720D4E"/>
    <w:rsid w:val="00720EB9"/>
    <w:rsid w:val="007213AE"/>
    <w:rsid w:val="007215F8"/>
    <w:rsid w:val="00721BED"/>
    <w:rsid w:val="007239EF"/>
    <w:rsid w:val="00724029"/>
    <w:rsid w:val="00724699"/>
    <w:rsid w:val="00725D0E"/>
    <w:rsid w:val="00725FD6"/>
    <w:rsid w:val="007265E0"/>
    <w:rsid w:val="007268B1"/>
    <w:rsid w:val="0072700D"/>
    <w:rsid w:val="00727B06"/>
    <w:rsid w:val="00727C66"/>
    <w:rsid w:val="00727D61"/>
    <w:rsid w:val="0073030B"/>
    <w:rsid w:val="007303C7"/>
    <w:rsid w:val="00730FCC"/>
    <w:rsid w:val="00731FB6"/>
    <w:rsid w:val="0073245D"/>
    <w:rsid w:val="00732569"/>
    <w:rsid w:val="00733AE0"/>
    <w:rsid w:val="00734125"/>
    <w:rsid w:val="00734B99"/>
    <w:rsid w:val="00735408"/>
    <w:rsid w:val="00736E97"/>
    <w:rsid w:val="00736FB9"/>
    <w:rsid w:val="00737406"/>
    <w:rsid w:val="007376A0"/>
    <w:rsid w:val="007408CB"/>
    <w:rsid w:val="007442A3"/>
    <w:rsid w:val="0074468D"/>
    <w:rsid w:val="00744D9B"/>
    <w:rsid w:val="007465A3"/>
    <w:rsid w:val="00747398"/>
    <w:rsid w:val="00747817"/>
    <w:rsid w:val="00750814"/>
    <w:rsid w:val="007509D3"/>
    <w:rsid w:val="00751728"/>
    <w:rsid w:val="00751CCD"/>
    <w:rsid w:val="00751EC7"/>
    <w:rsid w:val="00752446"/>
    <w:rsid w:val="00752C1F"/>
    <w:rsid w:val="0075397F"/>
    <w:rsid w:val="0075470F"/>
    <w:rsid w:val="00754CFA"/>
    <w:rsid w:val="00755D7D"/>
    <w:rsid w:val="007560B4"/>
    <w:rsid w:val="0075672C"/>
    <w:rsid w:val="00756961"/>
    <w:rsid w:val="00756B59"/>
    <w:rsid w:val="00757413"/>
    <w:rsid w:val="0076073B"/>
    <w:rsid w:val="007610D3"/>
    <w:rsid w:val="007640E1"/>
    <w:rsid w:val="0076474B"/>
    <w:rsid w:val="00764CC5"/>
    <w:rsid w:val="00764D36"/>
    <w:rsid w:val="00765E43"/>
    <w:rsid w:val="0076629B"/>
    <w:rsid w:val="00766B39"/>
    <w:rsid w:val="00770238"/>
    <w:rsid w:val="007705CC"/>
    <w:rsid w:val="007709AB"/>
    <w:rsid w:val="00770AF5"/>
    <w:rsid w:val="007723D5"/>
    <w:rsid w:val="0077245A"/>
    <w:rsid w:val="00773654"/>
    <w:rsid w:val="00773E02"/>
    <w:rsid w:val="00773F20"/>
    <w:rsid w:val="0077696A"/>
    <w:rsid w:val="00777246"/>
    <w:rsid w:val="007772D6"/>
    <w:rsid w:val="007772F2"/>
    <w:rsid w:val="00777AC1"/>
    <w:rsid w:val="00777AFB"/>
    <w:rsid w:val="00780902"/>
    <w:rsid w:val="00780DBD"/>
    <w:rsid w:val="007817E7"/>
    <w:rsid w:val="00783BA8"/>
    <w:rsid w:val="00784400"/>
    <w:rsid w:val="0078447C"/>
    <w:rsid w:val="007847FB"/>
    <w:rsid w:val="00784A7B"/>
    <w:rsid w:val="0078515D"/>
    <w:rsid w:val="00785308"/>
    <w:rsid w:val="0078541F"/>
    <w:rsid w:val="00785B63"/>
    <w:rsid w:val="00786296"/>
    <w:rsid w:val="00786353"/>
    <w:rsid w:val="00786B98"/>
    <w:rsid w:val="00786BF0"/>
    <w:rsid w:val="007872D0"/>
    <w:rsid w:val="00787407"/>
    <w:rsid w:val="00787EEE"/>
    <w:rsid w:val="00790506"/>
    <w:rsid w:val="007906DB"/>
    <w:rsid w:val="00791975"/>
    <w:rsid w:val="00793AD4"/>
    <w:rsid w:val="007940B6"/>
    <w:rsid w:val="00794388"/>
    <w:rsid w:val="0079448B"/>
    <w:rsid w:val="00794C1A"/>
    <w:rsid w:val="00794CAE"/>
    <w:rsid w:val="0079550D"/>
    <w:rsid w:val="00797161"/>
    <w:rsid w:val="00797DEA"/>
    <w:rsid w:val="007A13EB"/>
    <w:rsid w:val="007A14D0"/>
    <w:rsid w:val="007A15D9"/>
    <w:rsid w:val="007A1B95"/>
    <w:rsid w:val="007A1C9F"/>
    <w:rsid w:val="007A3340"/>
    <w:rsid w:val="007A41B2"/>
    <w:rsid w:val="007A41F3"/>
    <w:rsid w:val="007A4866"/>
    <w:rsid w:val="007A5A30"/>
    <w:rsid w:val="007A60A9"/>
    <w:rsid w:val="007A7AB1"/>
    <w:rsid w:val="007B0569"/>
    <w:rsid w:val="007B0B1E"/>
    <w:rsid w:val="007B1F00"/>
    <w:rsid w:val="007B234F"/>
    <w:rsid w:val="007B2E04"/>
    <w:rsid w:val="007B4020"/>
    <w:rsid w:val="007B511B"/>
    <w:rsid w:val="007B5562"/>
    <w:rsid w:val="007B651F"/>
    <w:rsid w:val="007B6BCF"/>
    <w:rsid w:val="007B746E"/>
    <w:rsid w:val="007B7DF2"/>
    <w:rsid w:val="007C0001"/>
    <w:rsid w:val="007C174A"/>
    <w:rsid w:val="007C1DC2"/>
    <w:rsid w:val="007C206D"/>
    <w:rsid w:val="007C2C88"/>
    <w:rsid w:val="007C30DF"/>
    <w:rsid w:val="007C3DF5"/>
    <w:rsid w:val="007C4794"/>
    <w:rsid w:val="007C47A5"/>
    <w:rsid w:val="007C4914"/>
    <w:rsid w:val="007C4B3B"/>
    <w:rsid w:val="007C4D0B"/>
    <w:rsid w:val="007C4F52"/>
    <w:rsid w:val="007C5034"/>
    <w:rsid w:val="007C5716"/>
    <w:rsid w:val="007C5906"/>
    <w:rsid w:val="007C5BD4"/>
    <w:rsid w:val="007C60F9"/>
    <w:rsid w:val="007C621F"/>
    <w:rsid w:val="007C624A"/>
    <w:rsid w:val="007C701F"/>
    <w:rsid w:val="007C75BD"/>
    <w:rsid w:val="007C7E99"/>
    <w:rsid w:val="007D0E07"/>
    <w:rsid w:val="007D1316"/>
    <w:rsid w:val="007D1FDF"/>
    <w:rsid w:val="007D25C6"/>
    <w:rsid w:val="007D2AA8"/>
    <w:rsid w:val="007D3D6E"/>
    <w:rsid w:val="007D4257"/>
    <w:rsid w:val="007D49FD"/>
    <w:rsid w:val="007D4AEF"/>
    <w:rsid w:val="007D5F75"/>
    <w:rsid w:val="007D5F81"/>
    <w:rsid w:val="007D639A"/>
    <w:rsid w:val="007D6739"/>
    <w:rsid w:val="007D715A"/>
    <w:rsid w:val="007D7DE7"/>
    <w:rsid w:val="007E0E5D"/>
    <w:rsid w:val="007E19A2"/>
    <w:rsid w:val="007E2513"/>
    <w:rsid w:val="007E2B3A"/>
    <w:rsid w:val="007E3B3A"/>
    <w:rsid w:val="007E4037"/>
    <w:rsid w:val="007E43A1"/>
    <w:rsid w:val="007E4B50"/>
    <w:rsid w:val="007E4C94"/>
    <w:rsid w:val="007E55BB"/>
    <w:rsid w:val="007E5C35"/>
    <w:rsid w:val="007E5E82"/>
    <w:rsid w:val="007E6DE1"/>
    <w:rsid w:val="007F00A9"/>
    <w:rsid w:val="007F01FF"/>
    <w:rsid w:val="007F1470"/>
    <w:rsid w:val="007F1F61"/>
    <w:rsid w:val="007F2848"/>
    <w:rsid w:val="007F29FE"/>
    <w:rsid w:val="007F3118"/>
    <w:rsid w:val="007F43E1"/>
    <w:rsid w:val="007F5B1C"/>
    <w:rsid w:val="007F5DD8"/>
    <w:rsid w:val="007F5DDC"/>
    <w:rsid w:val="007F60C2"/>
    <w:rsid w:val="007F6651"/>
    <w:rsid w:val="007F6D0B"/>
    <w:rsid w:val="007F6ECE"/>
    <w:rsid w:val="007F706A"/>
    <w:rsid w:val="007F7601"/>
    <w:rsid w:val="00802049"/>
    <w:rsid w:val="00802A3D"/>
    <w:rsid w:val="008035B2"/>
    <w:rsid w:val="0080377F"/>
    <w:rsid w:val="0080410B"/>
    <w:rsid w:val="00804425"/>
    <w:rsid w:val="0080450A"/>
    <w:rsid w:val="008049F8"/>
    <w:rsid w:val="00804B1A"/>
    <w:rsid w:val="00804E58"/>
    <w:rsid w:val="008058ED"/>
    <w:rsid w:val="00806BD4"/>
    <w:rsid w:val="00806BFB"/>
    <w:rsid w:val="00806CA5"/>
    <w:rsid w:val="00806ED6"/>
    <w:rsid w:val="00806F01"/>
    <w:rsid w:val="00807700"/>
    <w:rsid w:val="0081081C"/>
    <w:rsid w:val="008108FC"/>
    <w:rsid w:val="00810EB9"/>
    <w:rsid w:val="0081140F"/>
    <w:rsid w:val="0081177C"/>
    <w:rsid w:val="00811D0D"/>
    <w:rsid w:val="00812355"/>
    <w:rsid w:val="00812526"/>
    <w:rsid w:val="008126D6"/>
    <w:rsid w:val="00812942"/>
    <w:rsid w:val="0081322D"/>
    <w:rsid w:val="00813263"/>
    <w:rsid w:val="008134B4"/>
    <w:rsid w:val="00816138"/>
    <w:rsid w:val="00816BDC"/>
    <w:rsid w:val="0081769B"/>
    <w:rsid w:val="008202ED"/>
    <w:rsid w:val="00820618"/>
    <w:rsid w:val="00821977"/>
    <w:rsid w:val="00822112"/>
    <w:rsid w:val="008224FA"/>
    <w:rsid w:val="0082278C"/>
    <w:rsid w:val="008237C1"/>
    <w:rsid w:val="0082397D"/>
    <w:rsid w:val="00823DB1"/>
    <w:rsid w:val="0082480A"/>
    <w:rsid w:val="008248BD"/>
    <w:rsid w:val="00824CBA"/>
    <w:rsid w:val="00824CE1"/>
    <w:rsid w:val="008251CE"/>
    <w:rsid w:val="008254FA"/>
    <w:rsid w:val="00825BAC"/>
    <w:rsid w:val="0082691E"/>
    <w:rsid w:val="008269CA"/>
    <w:rsid w:val="00827DAF"/>
    <w:rsid w:val="00830456"/>
    <w:rsid w:val="008308AA"/>
    <w:rsid w:val="008329BF"/>
    <w:rsid w:val="00832A44"/>
    <w:rsid w:val="0083376F"/>
    <w:rsid w:val="00833B11"/>
    <w:rsid w:val="00833DCF"/>
    <w:rsid w:val="008345AD"/>
    <w:rsid w:val="0083461D"/>
    <w:rsid w:val="00835C94"/>
    <w:rsid w:val="00836F0A"/>
    <w:rsid w:val="00837DC3"/>
    <w:rsid w:val="00840499"/>
    <w:rsid w:val="0084130B"/>
    <w:rsid w:val="0084166F"/>
    <w:rsid w:val="00841989"/>
    <w:rsid w:val="00841D82"/>
    <w:rsid w:val="00841E83"/>
    <w:rsid w:val="00842960"/>
    <w:rsid w:val="008429CC"/>
    <w:rsid w:val="00842EC4"/>
    <w:rsid w:val="00843FA4"/>
    <w:rsid w:val="008445DF"/>
    <w:rsid w:val="00844A7A"/>
    <w:rsid w:val="00846A09"/>
    <w:rsid w:val="00847495"/>
    <w:rsid w:val="00847BA9"/>
    <w:rsid w:val="008508B1"/>
    <w:rsid w:val="0085158C"/>
    <w:rsid w:val="00851694"/>
    <w:rsid w:val="008518A4"/>
    <w:rsid w:val="008519A1"/>
    <w:rsid w:val="00853249"/>
    <w:rsid w:val="00853D03"/>
    <w:rsid w:val="00853DEE"/>
    <w:rsid w:val="008546D9"/>
    <w:rsid w:val="00854BBB"/>
    <w:rsid w:val="00854EBE"/>
    <w:rsid w:val="008552E7"/>
    <w:rsid w:val="00855B21"/>
    <w:rsid w:val="00856377"/>
    <w:rsid w:val="00857B10"/>
    <w:rsid w:val="00857E4C"/>
    <w:rsid w:val="00860ADF"/>
    <w:rsid w:val="00860ED9"/>
    <w:rsid w:val="00860FAE"/>
    <w:rsid w:val="00861073"/>
    <w:rsid w:val="00862349"/>
    <w:rsid w:val="008626DC"/>
    <w:rsid w:val="00862F30"/>
    <w:rsid w:val="008634BB"/>
    <w:rsid w:val="00863827"/>
    <w:rsid w:val="00863F97"/>
    <w:rsid w:val="008653D6"/>
    <w:rsid w:val="008663A1"/>
    <w:rsid w:val="008664C6"/>
    <w:rsid w:val="00866697"/>
    <w:rsid w:val="00867250"/>
    <w:rsid w:val="008672EF"/>
    <w:rsid w:val="0086794E"/>
    <w:rsid w:val="00867F56"/>
    <w:rsid w:val="0087134E"/>
    <w:rsid w:val="00871493"/>
    <w:rsid w:val="00871F69"/>
    <w:rsid w:val="008722AF"/>
    <w:rsid w:val="008748D1"/>
    <w:rsid w:val="00874CD0"/>
    <w:rsid w:val="00875121"/>
    <w:rsid w:val="00875496"/>
    <w:rsid w:val="00875A8D"/>
    <w:rsid w:val="00875D3C"/>
    <w:rsid w:val="00876C47"/>
    <w:rsid w:val="00881618"/>
    <w:rsid w:val="00881933"/>
    <w:rsid w:val="00882F91"/>
    <w:rsid w:val="00883A50"/>
    <w:rsid w:val="00884745"/>
    <w:rsid w:val="00884AB9"/>
    <w:rsid w:val="00884EF6"/>
    <w:rsid w:val="00885485"/>
    <w:rsid w:val="00887BE7"/>
    <w:rsid w:val="00887BFE"/>
    <w:rsid w:val="0089052E"/>
    <w:rsid w:val="008907D1"/>
    <w:rsid w:val="00890A4C"/>
    <w:rsid w:val="0089123B"/>
    <w:rsid w:val="0089181E"/>
    <w:rsid w:val="008923D7"/>
    <w:rsid w:val="00893EA7"/>
    <w:rsid w:val="00894133"/>
    <w:rsid w:val="008948A2"/>
    <w:rsid w:val="00894E5D"/>
    <w:rsid w:val="00896B9C"/>
    <w:rsid w:val="008972DB"/>
    <w:rsid w:val="00897324"/>
    <w:rsid w:val="00897844"/>
    <w:rsid w:val="00897C4A"/>
    <w:rsid w:val="008A014A"/>
    <w:rsid w:val="008A02F0"/>
    <w:rsid w:val="008A0E9C"/>
    <w:rsid w:val="008A28BB"/>
    <w:rsid w:val="008A2CEE"/>
    <w:rsid w:val="008A3605"/>
    <w:rsid w:val="008A3FF9"/>
    <w:rsid w:val="008A44E2"/>
    <w:rsid w:val="008A4BE6"/>
    <w:rsid w:val="008A5178"/>
    <w:rsid w:val="008A54D8"/>
    <w:rsid w:val="008A6453"/>
    <w:rsid w:val="008A6781"/>
    <w:rsid w:val="008A6AD0"/>
    <w:rsid w:val="008A6E22"/>
    <w:rsid w:val="008A74BA"/>
    <w:rsid w:val="008A7A53"/>
    <w:rsid w:val="008A7DBB"/>
    <w:rsid w:val="008A7EF7"/>
    <w:rsid w:val="008B06D2"/>
    <w:rsid w:val="008B0BB3"/>
    <w:rsid w:val="008B0EEE"/>
    <w:rsid w:val="008B1244"/>
    <w:rsid w:val="008B1F25"/>
    <w:rsid w:val="008B3079"/>
    <w:rsid w:val="008B3802"/>
    <w:rsid w:val="008B3B47"/>
    <w:rsid w:val="008B3E8C"/>
    <w:rsid w:val="008B4576"/>
    <w:rsid w:val="008B5344"/>
    <w:rsid w:val="008B5503"/>
    <w:rsid w:val="008B5B36"/>
    <w:rsid w:val="008B5FBB"/>
    <w:rsid w:val="008B6083"/>
    <w:rsid w:val="008B723E"/>
    <w:rsid w:val="008B73EB"/>
    <w:rsid w:val="008B7908"/>
    <w:rsid w:val="008C04F4"/>
    <w:rsid w:val="008C1B5B"/>
    <w:rsid w:val="008C1D6D"/>
    <w:rsid w:val="008C285F"/>
    <w:rsid w:val="008C29F9"/>
    <w:rsid w:val="008C376A"/>
    <w:rsid w:val="008C383B"/>
    <w:rsid w:val="008C3F94"/>
    <w:rsid w:val="008C48E5"/>
    <w:rsid w:val="008C6876"/>
    <w:rsid w:val="008C7784"/>
    <w:rsid w:val="008C7F60"/>
    <w:rsid w:val="008D0501"/>
    <w:rsid w:val="008D06CA"/>
    <w:rsid w:val="008D151F"/>
    <w:rsid w:val="008D171C"/>
    <w:rsid w:val="008D17EC"/>
    <w:rsid w:val="008D21F6"/>
    <w:rsid w:val="008D2661"/>
    <w:rsid w:val="008D2A23"/>
    <w:rsid w:val="008D3D5D"/>
    <w:rsid w:val="008D4178"/>
    <w:rsid w:val="008D417C"/>
    <w:rsid w:val="008D4B5F"/>
    <w:rsid w:val="008D591C"/>
    <w:rsid w:val="008D596F"/>
    <w:rsid w:val="008D5AC5"/>
    <w:rsid w:val="008D6774"/>
    <w:rsid w:val="008D7969"/>
    <w:rsid w:val="008D7FB1"/>
    <w:rsid w:val="008E0260"/>
    <w:rsid w:val="008E0348"/>
    <w:rsid w:val="008E0C35"/>
    <w:rsid w:val="008E0C90"/>
    <w:rsid w:val="008E18EA"/>
    <w:rsid w:val="008E1A62"/>
    <w:rsid w:val="008E1A66"/>
    <w:rsid w:val="008E1ABF"/>
    <w:rsid w:val="008E24F5"/>
    <w:rsid w:val="008E3822"/>
    <w:rsid w:val="008E396C"/>
    <w:rsid w:val="008E3A41"/>
    <w:rsid w:val="008E4257"/>
    <w:rsid w:val="008E42CA"/>
    <w:rsid w:val="008E4AA0"/>
    <w:rsid w:val="008E57F2"/>
    <w:rsid w:val="008E58BA"/>
    <w:rsid w:val="008E5A21"/>
    <w:rsid w:val="008E5DC1"/>
    <w:rsid w:val="008E609D"/>
    <w:rsid w:val="008E6221"/>
    <w:rsid w:val="008E6E8E"/>
    <w:rsid w:val="008E73D1"/>
    <w:rsid w:val="008E75DD"/>
    <w:rsid w:val="008E7EF2"/>
    <w:rsid w:val="008F0015"/>
    <w:rsid w:val="008F0663"/>
    <w:rsid w:val="008F1157"/>
    <w:rsid w:val="008F2025"/>
    <w:rsid w:val="008F23D8"/>
    <w:rsid w:val="008F2E79"/>
    <w:rsid w:val="008F328A"/>
    <w:rsid w:val="008F388E"/>
    <w:rsid w:val="008F4854"/>
    <w:rsid w:val="008F488A"/>
    <w:rsid w:val="008F4D00"/>
    <w:rsid w:val="008F5067"/>
    <w:rsid w:val="008F5348"/>
    <w:rsid w:val="008F53F2"/>
    <w:rsid w:val="008F6F59"/>
    <w:rsid w:val="008F73C5"/>
    <w:rsid w:val="008F7F1E"/>
    <w:rsid w:val="009001DF"/>
    <w:rsid w:val="0090030E"/>
    <w:rsid w:val="009003FD"/>
    <w:rsid w:val="00900435"/>
    <w:rsid w:val="009011D8"/>
    <w:rsid w:val="00903066"/>
    <w:rsid w:val="00903534"/>
    <w:rsid w:val="009036C1"/>
    <w:rsid w:val="00903757"/>
    <w:rsid w:val="00903A28"/>
    <w:rsid w:val="0090474B"/>
    <w:rsid w:val="00904D7E"/>
    <w:rsid w:val="00904EB1"/>
    <w:rsid w:val="009052F7"/>
    <w:rsid w:val="00905476"/>
    <w:rsid w:val="00905815"/>
    <w:rsid w:val="009059C3"/>
    <w:rsid w:val="009063DD"/>
    <w:rsid w:val="00906519"/>
    <w:rsid w:val="00906E65"/>
    <w:rsid w:val="00906F60"/>
    <w:rsid w:val="009076DB"/>
    <w:rsid w:val="009078F6"/>
    <w:rsid w:val="00907D67"/>
    <w:rsid w:val="00910115"/>
    <w:rsid w:val="00910613"/>
    <w:rsid w:val="00910843"/>
    <w:rsid w:val="009114EE"/>
    <w:rsid w:val="00912414"/>
    <w:rsid w:val="0091326C"/>
    <w:rsid w:val="0091348C"/>
    <w:rsid w:val="00914E29"/>
    <w:rsid w:val="00914EFA"/>
    <w:rsid w:val="00915E74"/>
    <w:rsid w:val="009160AC"/>
    <w:rsid w:val="009161BA"/>
    <w:rsid w:val="0091626B"/>
    <w:rsid w:val="0092002A"/>
    <w:rsid w:val="00920721"/>
    <w:rsid w:val="00920C61"/>
    <w:rsid w:val="00922B92"/>
    <w:rsid w:val="00922C64"/>
    <w:rsid w:val="00923AE5"/>
    <w:rsid w:val="00923B26"/>
    <w:rsid w:val="009248AA"/>
    <w:rsid w:val="00925F18"/>
    <w:rsid w:val="0092608B"/>
    <w:rsid w:val="009260EF"/>
    <w:rsid w:val="00926293"/>
    <w:rsid w:val="00926E38"/>
    <w:rsid w:val="00930911"/>
    <w:rsid w:val="00931AB1"/>
    <w:rsid w:val="00932F6A"/>
    <w:rsid w:val="009331A3"/>
    <w:rsid w:val="0093339B"/>
    <w:rsid w:val="00933406"/>
    <w:rsid w:val="00934476"/>
    <w:rsid w:val="0093493C"/>
    <w:rsid w:val="00937734"/>
    <w:rsid w:val="0094057A"/>
    <w:rsid w:val="00941296"/>
    <w:rsid w:val="00941FEF"/>
    <w:rsid w:val="00942AED"/>
    <w:rsid w:val="00942B6E"/>
    <w:rsid w:val="00942B8D"/>
    <w:rsid w:val="00943406"/>
    <w:rsid w:val="00943D7E"/>
    <w:rsid w:val="00944CF6"/>
    <w:rsid w:val="00944D06"/>
    <w:rsid w:val="00945308"/>
    <w:rsid w:val="00945DCA"/>
    <w:rsid w:val="009460F1"/>
    <w:rsid w:val="00946191"/>
    <w:rsid w:val="00946A7D"/>
    <w:rsid w:val="00946E46"/>
    <w:rsid w:val="009478CA"/>
    <w:rsid w:val="009502D3"/>
    <w:rsid w:val="009513B8"/>
    <w:rsid w:val="00951D55"/>
    <w:rsid w:val="00951FC0"/>
    <w:rsid w:val="009520CE"/>
    <w:rsid w:val="0095283C"/>
    <w:rsid w:val="009539AA"/>
    <w:rsid w:val="00954C7B"/>
    <w:rsid w:val="00956617"/>
    <w:rsid w:val="00956A71"/>
    <w:rsid w:val="00957128"/>
    <w:rsid w:val="0095735A"/>
    <w:rsid w:val="0095749C"/>
    <w:rsid w:val="00957869"/>
    <w:rsid w:val="0096032A"/>
    <w:rsid w:val="00960AEE"/>
    <w:rsid w:val="0096129D"/>
    <w:rsid w:val="00961BDE"/>
    <w:rsid w:val="00963AE6"/>
    <w:rsid w:val="00963FEC"/>
    <w:rsid w:val="00964305"/>
    <w:rsid w:val="009647A9"/>
    <w:rsid w:val="00964B8A"/>
    <w:rsid w:val="009652D7"/>
    <w:rsid w:val="009654B6"/>
    <w:rsid w:val="0096591A"/>
    <w:rsid w:val="00965A0E"/>
    <w:rsid w:val="00965AD6"/>
    <w:rsid w:val="00965C88"/>
    <w:rsid w:val="00966801"/>
    <w:rsid w:val="00966CFC"/>
    <w:rsid w:val="0096707C"/>
    <w:rsid w:val="009705AB"/>
    <w:rsid w:val="00970C3B"/>
    <w:rsid w:val="00970E41"/>
    <w:rsid w:val="00971002"/>
    <w:rsid w:val="00971278"/>
    <w:rsid w:val="009712D1"/>
    <w:rsid w:val="00971495"/>
    <w:rsid w:val="00971E46"/>
    <w:rsid w:val="00972562"/>
    <w:rsid w:val="00973965"/>
    <w:rsid w:val="00974275"/>
    <w:rsid w:val="00974CB2"/>
    <w:rsid w:val="00974F54"/>
    <w:rsid w:val="0097537D"/>
    <w:rsid w:val="009758ED"/>
    <w:rsid w:val="00976133"/>
    <w:rsid w:val="009768E5"/>
    <w:rsid w:val="00976B23"/>
    <w:rsid w:val="009770FE"/>
    <w:rsid w:val="00977669"/>
    <w:rsid w:val="00980F51"/>
    <w:rsid w:val="009811B9"/>
    <w:rsid w:val="009815E9"/>
    <w:rsid w:val="009825B9"/>
    <w:rsid w:val="00982CA4"/>
    <w:rsid w:val="00983164"/>
    <w:rsid w:val="00983217"/>
    <w:rsid w:val="00983C79"/>
    <w:rsid w:val="00983F3D"/>
    <w:rsid w:val="009840D8"/>
    <w:rsid w:val="00984397"/>
    <w:rsid w:val="009846C6"/>
    <w:rsid w:val="0098481B"/>
    <w:rsid w:val="009848FA"/>
    <w:rsid w:val="009849C6"/>
    <w:rsid w:val="00984E25"/>
    <w:rsid w:val="009859C7"/>
    <w:rsid w:val="00985C78"/>
    <w:rsid w:val="00985DC7"/>
    <w:rsid w:val="00986894"/>
    <w:rsid w:val="0098756F"/>
    <w:rsid w:val="00990252"/>
    <w:rsid w:val="00990663"/>
    <w:rsid w:val="00990E77"/>
    <w:rsid w:val="00990F7A"/>
    <w:rsid w:val="0099132D"/>
    <w:rsid w:val="0099355B"/>
    <w:rsid w:val="0099399B"/>
    <w:rsid w:val="0099424F"/>
    <w:rsid w:val="00994A65"/>
    <w:rsid w:val="009957E8"/>
    <w:rsid w:val="00996405"/>
    <w:rsid w:val="00996A28"/>
    <w:rsid w:val="00996DE9"/>
    <w:rsid w:val="00996E19"/>
    <w:rsid w:val="00997465"/>
    <w:rsid w:val="00997538"/>
    <w:rsid w:val="009979DA"/>
    <w:rsid w:val="009A0367"/>
    <w:rsid w:val="009A07E3"/>
    <w:rsid w:val="009A0FB9"/>
    <w:rsid w:val="009A110B"/>
    <w:rsid w:val="009A1349"/>
    <w:rsid w:val="009A179F"/>
    <w:rsid w:val="009A1996"/>
    <w:rsid w:val="009A1BB3"/>
    <w:rsid w:val="009A20F5"/>
    <w:rsid w:val="009A322D"/>
    <w:rsid w:val="009A3F1D"/>
    <w:rsid w:val="009A4192"/>
    <w:rsid w:val="009A4C23"/>
    <w:rsid w:val="009A4ED6"/>
    <w:rsid w:val="009A5203"/>
    <w:rsid w:val="009A60B8"/>
    <w:rsid w:val="009A66D3"/>
    <w:rsid w:val="009A7052"/>
    <w:rsid w:val="009A73E8"/>
    <w:rsid w:val="009A746C"/>
    <w:rsid w:val="009A7DB2"/>
    <w:rsid w:val="009B0554"/>
    <w:rsid w:val="009B099A"/>
    <w:rsid w:val="009B0B40"/>
    <w:rsid w:val="009B19F6"/>
    <w:rsid w:val="009B36EB"/>
    <w:rsid w:val="009B38AF"/>
    <w:rsid w:val="009B38D2"/>
    <w:rsid w:val="009B39E9"/>
    <w:rsid w:val="009B3F54"/>
    <w:rsid w:val="009B4472"/>
    <w:rsid w:val="009B48A0"/>
    <w:rsid w:val="009B538D"/>
    <w:rsid w:val="009B5502"/>
    <w:rsid w:val="009B57D6"/>
    <w:rsid w:val="009B625A"/>
    <w:rsid w:val="009B6584"/>
    <w:rsid w:val="009B7112"/>
    <w:rsid w:val="009B7453"/>
    <w:rsid w:val="009C078D"/>
    <w:rsid w:val="009C1606"/>
    <w:rsid w:val="009C231F"/>
    <w:rsid w:val="009C25C9"/>
    <w:rsid w:val="009C2682"/>
    <w:rsid w:val="009C2B1E"/>
    <w:rsid w:val="009C3B11"/>
    <w:rsid w:val="009C43E2"/>
    <w:rsid w:val="009C4613"/>
    <w:rsid w:val="009C47EB"/>
    <w:rsid w:val="009C4977"/>
    <w:rsid w:val="009C5F32"/>
    <w:rsid w:val="009C6571"/>
    <w:rsid w:val="009C7680"/>
    <w:rsid w:val="009C7DC3"/>
    <w:rsid w:val="009D13B4"/>
    <w:rsid w:val="009D168A"/>
    <w:rsid w:val="009D263B"/>
    <w:rsid w:val="009D46FD"/>
    <w:rsid w:val="009D4C16"/>
    <w:rsid w:val="009D540D"/>
    <w:rsid w:val="009D5600"/>
    <w:rsid w:val="009D5CF2"/>
    <w:rsid w:val="009D5EBB"/>
    <w:rsid w:val="009D5EDF"/>
    <w:rsid w:val="009D700C"/>
    <w:rsid w:val="009E07B5"/>
    <w:rsid w:val="009E186C"/>
    <w:rsid w:val="009E1D3D"/>
    <w:rsid w:val="009E1DB2"/>
    <w:rsid w:val="009E1F35"/>
    <w:rsid w:val="009E2D32"/>
    <w:rsid w:val="009E3E4A"/>
    <w:rsid w:val="009E585E"/>
    <w:rsid w:val="009E65FE"/>
    <w:rsid w:val="009E667A"/>
    <w:rsid w:val="009E6A2B"/>
    <w:rsid w:val="009E7444"/>
    <w:rsid w:val="009E791E"/>
    <w:rsid w:val="009F01FF"/>
    <w:rsid w:val="009F04BF"/>
    <w:rsid w:val="009F0855"/>
    <w:rsid w:val="009F08A1"/>
    <w:rsid w:val="009F0976"/>
    <w:rsid w:val="009F0B29"/>
    <w:rsid w:val="009F1151"/>
    <w:rsid w:val="009F1E30"/>
    <w:rsid w:val="009F2155"/>
    <w:rsid w:val="009F2CD3"/>
    <w:rsid w:val="009F2D8B"/>
    <w:rsid w:val="009F30A9"/>
    <w:rsid w:val="009F3C7B"/>
    <w:rsid w:val="009F509C"/>
    <w:rsid w:val="009F6037"/>
    <w:rsid w:val="009F66AA"/>
    <w:rsid w:val="009F6CDB"/>
    <w:rsid w:val="009F7BDC"/>
    <w:rsid w:val="009F7D88"/>
    <w:rsid w:val="00A0076C"/>
    <w:rsid w:val="00A00E1D"/>
    <w:rsid w:val="00A00E26"/>
    <w:rsid w:val="00A00F4A"/>
    <w:rsid w:val="00A01083"/>
    <w:rsid w:val="00A01278"/>
    <w:rsid w:val="00A02391"/>
    <w:rsid w:val="00A02AF1"/>
    <w:rsid w:val="00A030CC"/>
    <w:rsid w:val="00A031BA"/>
    <w:rsid w:val="00A03564"/>
    <w:rsid w:val="00A04065"/>
    <w:rsid w:val="00A04B8C"/>
    <w:rsid w:val="00A054E3"/>
    <w:rsid w:val="00A0586C"/>
    <w:rsid w:val="00A05D8E"/>
    <w:rsid w:val="00A06FB0"/>
    <w:rsid w:val="00A07511"/>
    <w:rsid w:val="00A07B47"/>
    <w:rsid w:val="00A07E37"/>
    <w:rsid w:val="00A104E5"/>
    <w:rsid w:val="00A1218A"/>
    <w:rsid w:val="00A13012"/>
    <w:rsid w:val="00A132D1"/>
    <w:rsid w:val="00A14C6F"/>
    <w:rsid w:val="00A15490"/>
    <w:rsid w:val="00A15510"/>
    <w:rsid w:val="00A15A37"/>
    <w:rsid w:val="00A15D34"/>
    <w:rsid w:val="00A15EE5"/>
    <w:rsid w:val="00A162F7"/>
    <w:rsid w:val="00A16A07"/>
    <w:rsid w:val="00A16DE9"/>
    <w:rsid w:val="00A16EA6"/>
    <w:rsid w:val="00A170C1"/>
    <w:rsid w:val="00A17B83"/>
    <w:rsid w:val="00A17E88"/>
    <w:rsid w:val="00A21763"/>
    <w:rsid w:val="00A21CC2"/>
    <w:rsid w:val="00A220A4"/>
    <w:rsid w:val="00A2291E"/>
    <w:rsid w:val="00A22C09"/>
    <w:rsid w:val="00A23892"/>
    <w:rsid w:val="00A243F9"/>
    <w:rsid w:val="00A248B7"/>
    <w:rsid w:val="00A24FA6"/>
    <w:rsid w:val="00A2536C"/>
    <w:rsid w:val="00A271CA"/>
    <w:rsid w:val="00A27556"/>
    <w:rsid w:val="00A27A1A"/>
    <w:rsid w:val="00A27EB9"/>
    <w:rsid w:val="00A303BD"/>
    <w:rsid w:val="00A3080F"/>
    <w:rsid w:val="00A30BF6"/>
    <w:rsid w:val="00A30EA3"/>
    <w:rsid w:val="00A3113C"/>
    <w:rsid w:val="00A32466"/>
    <w:rsid w:val="00A3257E"/>
    <w:rsid w:val="00A32CEA"/>
    <w:rsid w:val="00A34D5A"/>
    <w:rsid w:val="00A35234"/>
    <w:rsid w:val="00A35BE8"/>
    <w:rsid w:val="00A3640D"/>
    <w:rsid w:val="00A3657B"/>
    <w:rsid w:val="00A37050"/>
    <w:rsid w:val="00A378EA"/>
    <w:rsid w:val="00A37B8B"/>
    <w:rsid w:val="00A37C6F"/>
    <w:rsid w:val="00A37D42"/>
    <w:rsid w:val="00A402E0"/>
    <w:rsid w:val="00A40428"/>
    <w:rsid w:val="00A41071"/>
    <w:rsid w:val="00A41472"/>
    <w:rsid w:val="00A423E9"/>
    <w:rsid w:val="00A42F28"/>
    <w:rsid w:val="00A432DE"/>
    <w:rsid w:val="00A43560"/>
    <w:rsid w:val="00A43927"/>
    <w:rsid w:val="00A43F4A"/>
    <w:rsid w:val="00A43FD9"/>
    <w:rsid w:val="00A4500F"/>
    <w:rsid w:val="00A45B89"/>
    <w:rsid w:val="00A45D8B"/>
    <w:rsid w:val="00A46735"/>
    <w:rsid w:val="00A4690A"/>
    <w:rsid w:val="00A4743E"/>
    <w:rsid w:val="00A475D8"/>
    <w:rsid w:val="00A4762B"/>
    <w:rsid w:val="00A47D76"/>
    <w:rsid w:val="00A5067C"/>
    <w:rsid w:val="00A507FB"/>
    <w:rsid w:val="00A515EA"/>
    <w:rsid w:val="00A53764"/>
    <w:rsid w:val="00A53984"/>
    <w:rsid w:val="00A53A7A"/>
    <w:rsid w:val="00A5411F"/>
    <w:rsid w:val="00A54805"/>
    <w:rsid w:val="00A54C6D"/>
    <w:rsid w:val="00A54E3A"/>
    <w:rsid w:val="00A54F60"/>
    <w:rsid w:val="00A55123"/>
    <w:rsid w:val="00A57D88"/>
    <w:rsid w:val="00A60067"/>
    <w:rsid w:val="00A61C38"/>
    <w:rsid w:val="00A620F3"/>
    <w:rsid w:val="00A620FE"/>
    <w:rsid w:val="00A626C1"/>
    <w:rsid w:val="00A626FF"/>
    <w:rsid w:val="00A62C4A"/>
    <w:rsid w:val="00A62FBD"/>
    <w:rsid w:val="00A63A74"/>
    <w:rsid w:val="00A64D7E"/>
    <w:rsid w:val="00A666C3"/>
    <w:rsid w:val="00A66E8A"/>
    <w:rsid w:val="00A66F2C"/>
    <w:rsid w:val="00A67C61"/>
    <w:rsid w:val="00A67E17"/>
    <w:rsid w:val="00A704FB"/>
    <w:rsid w:val="00A7093D"/>
    <w:rsid w:val="00A70A87"/>
    <w:rsid w:val="00A72ECB"/>
    <w:rsid w:val="00A732A4"/>
    <w:rsid w:val="00A7332D"/>
    <w:rsid w:val="00A74003"/>
    <w:rsid w:val="00A74746"/>
    <w:rsid w:val="00A74F50"/>
    <w:rsid w:val="00A76B38"/>
    <w:rsid w:val="00A772B0"/>
    <w:rsid w:val="00A7732F"/>
    <w:rsid w:val="00A7738D"/>
    <w:rsid w:val="00A801DF"/>
    <w:rsid w:val="00A80377"/>
    <w:rsid w:val="00A804A1"/>
    <w:rsid w:val="00A80E0A"/>
    <w:rsid w:val="00A812D4"/>
    <w:rsid w:val="00A814C0"/>
    <w:rsid w:val="00A8161C"/>
    <w:rsid w:val="00A82065"/>
    <w:rsid w:val="00A82FA5"/>
    <w:rsid w:val="00A830E6"/>
    <w:rsid w:val="00A8329F"/>
    <w:rsid w:val="00A83641"/>
    <w:rsid w:val="00A83EEE"/>
    <w:rsid w:val="00A84AC3"/>
    <w:rsid w:val="00A85189"/>
    <w:rsid w:val="00A8615D"/>
    <w:rsid w:val="00A873FD"/>
    <w:rsid w:val="00A87972"/>
    <w:rsid w:val="00A87BCB"/>
    <w:rsid w:val="00A90F68"/>
    <w:rsid w:val="00A9120E"/>
    <w:rsid w:val="00A92A3B"/>
    <w:rsid w:val="00A92D16"/>
    <w:rsid w:val="00A92E93"/>
    <w:rsid w:val="00A93C2C"/>
    <w:rsid w:val="00A95191"/>
    <w:rsid w:val="00A95540"/>
    <w:rsid w:val="00A95B3A"/>
    <w:rsid w:val="00A95F48"/>
    <w:rsid w:val="00A9705F"/>
    <w:rsid w:val="00A975BE"/>
    <w:rsid w:val="00A97F91"/>
    <w:rsid w:val="00AA0003"/>
    <w:rsid w:val="00AA0015"/>
    <w:rsid w:val="00AA00FE"/>
    <w:rsid w:val="00AA084D"/>
    <w:rsid w:val="00AA0AD7"/>
    <w:rsid w:val="00AA0CEF"/>
    <w:rsid w:val="00AA1E30"/>
    <w:rsid w:val="00AA1FF0"/>
    <w:rsid w:val="00AA228E"/>
    <w:rsid w:val="00AA24F3"/>
    <w:rsid w:val="00AA2814"/>
    <w:rsid w:val="00AA2B2A"/>
    <w:rsid w:val="00AA3015"/>
    <w:rsid w:val="00AA30E2"/>
    <w:rsid w:val="00AA3507"/>
    <w:rsid w:val="00AA3684"/>
    <w:rsid w:val="00AA3DD0"/>
    <w:rsid w:val="00AA441F"/>
    <w:rsid w:val="00AA4B5A"/>
    <w:rsid w:val="00AA4C6D"/>
    <w:rsid w:val="00AA558B"/>
    <w:rsid w:val="00AA6CF6"/>
    <w:rsid w:val="00AA761F"/>
    <w:rsid w:val="00AA7E7D"/>
    <w:rsid w:val="00AA7FD7"/>
    <w:rsid w:val="00AB1CC5"/>
    <w:rsid w:val="00AB225A"/>
    <w:rsid w:val="00AB2301"/>
    <w:rsid w:val="00AB265D"/>
    <w:rsid w:val="00AB26BC"/>
    <w:rsid w:val="00AB29F6"/>
    <w:rsid w:val="00AB2F38"/>
    <w:rsid w:val="00AB3436"/>
    <w:rsid w:val="00AB3C2F"/>
    <w:rsid w:val="00AB4571"/>
    <w:rsid w:val="00AB4950"/>
    <w:rsid w:val="00AB4F77"/>
    <w:rsid w:val="00AB56FE"/>
    <w:rsid w:val="00AB653F"/>
    <w:rsid w:val="00AB6989"/>
    <w:rsid w:val="00AB72AA"/>
    <w:rsid w:val="00AB74EA"/>
    <w:rsid w:val="00AC03F7"/>
    <w:rsid w:val="00AC069B"/>
    <w:rsid w:val="00AC10D6"/>
    <w:rsid w:val="00AC163F"/>
    <w:rsid w:val="00AC1DC6"/>
    <w:rsid w:val="00AC21ED"/>
    <w:rsid w:val="00AC2452"/>
    <w:rsid w:val="00AC2590"/>
    <w:rsid w:val="00AC26DA"/>
    <w:rsid w:val="00AC2994"/>
    <w:rsid w:val="00AC2CAD"/>
    <w:rsid w:val="00AC36DC"/>
    <w:rsid w:val="00AC3D66"/>
    <w:rsid w:val="00AC406E"/>
    <w:rsid w:val="00AC411C"/>
    <w:rsid w:val="00AC41FC"/>
    <w:rsid w:val="00AC74D4"/>
    <w:rsid w:val="00AD0794"/>
    <w:rsid w:val="00AD08CF"/>
    <w:rsid w:val="00AD176C"/>
    <w:rsid w:val="00AD1FE4"/>
    <w:rsid w:val="00AD2A1A"/>
    <w:rsid w:val="00AD31DD"/>
    <w:rsid w:val="00AD4C54"/>
    <w:rsid w:val="00AD5288"/>
    <w:rsid w:val="00AD54D1"/>
    <w:rsid w:val="00AD6AA0"/>
    <w:rsid w:val="00AD73E0"/>
    <w:rsid w:val="00AD74CE"/>
    <w:rsid w:val="00AD7AC5"/>
    <w:rsid w:val="00AE02A7"/>
    <w:rsid w:val="00AE054C"/>
    <w:rsid w:val="00AE0671"/>
    <w:rsid w:val="00AE13F3"/>
    <w:rsid w:val="00AE140D"/>
    <w:rsid w:val="00AE16A6"/>
    <w:rsid w:val="00AE21D5"/>
    <w:rsid w:val="00AE2E71"/>
    <w:rsid w:val="00AE38CB"/>
    <w:rsid w:val="00AE3B1B"/>
    <w:rsid w:val="00AE493B"/>
    <w:rsid w:val="00AE54D3"/>
    <w:rsid w:val="00AE570E"/>
    <w:rsid w:val="00AE6548"/>
    <w:rsid w:val="00AE6987"/>
    <w:rsid w:val="00AE7008"/>
    <w:rsid w:val="00AE754E"/>
    <w:rsid w:val="00AE7811"/>
    <w:rsid w:val="00AE7841"/>
    <w:rsid w:val="00AE7A87"/>
    <w:rsid w:val="00AF2038"/>
    <w:rsid w:val="00AF26B3"/>
    <w:rsid w:val="00AF3424"/>
    <w:rsid w:val="00AF402B"/>
    <w:rsid w:val="00AF402C"/>
    <w:rsid w:val="00AF43DB"/>
    <w:rsid w:val="00AF478C"/>
    <w:rsid w:val="00AF53B8"/>
    <w:rsid w:val="00AF5C13"/>
    <w:rsid w:val="00AF5C65"/>
    <w:rsid w:val="00AF61F0"/>
    <w:rsid w:val="00AF7473"/>
    <w:rsid w:val="00AF7781"/>
    <w:rsid w:val="00AF7EF5"/>
    <w:rsid w:val="00B00A87"/>
    <w:rsid w:val="00B01328"/>
    <w:rsid w:val="00B0151A"/>
    <w:rsid w:val="00B015D2"/>
    <w:rsid w:val="00B01FD0"/>
    <w:rsid w:val="00B023DC"/>
    <w:rsid w:val="00B0455C"/>
    <w:rsid w:val="00B04A23"/>
    <w:rsid w:val="00B04B3B"/>
    <w:rsid w:val="00B04F49"/>
    <w:rsid w:val="00B0587B"/>
    <w:rsid w:val="00B069BF"/>
    <w:rsid w:val="00B06B42"/>
    <w:rsid w:val="00B0741A"/>
    <w:rsid w:val="00B07943"/>
    <w:rsid w:val="00B07E78"/>
    <w:rsid w:val="00B100D9"/>
    <w:rsid w:val="00B1090D"/>
    <w:rsid w:val="00B11554"/>
    <w:rsid w:val="00B1183E"/>
    <w:rsid w:val="00B1274E"/>
    <w:rsid w:val="00B12C61"/>
    <w:rsid w:val="00B13188"/>
    <w:rsid w:val="00B1398D"/>
    <w:rsid w:val="00B13F56"/>
    <w:rsid w:val="00B14048"/>
    <w:rsid w:val="00B156B1"/>
    <w:rsid w:val="00B166C7"/>
    <w:rsid w:val="00B17902"/>
    <w:rsid w:val="00B17DA6"/>
    <w:rsid w:val="00B203CE"/>
    <w:rsid w:val="00B20D04"/>
    <w:rsid w:val="00B21900"/>
    <w:rsid w:val="00B2211C"/>
    <w:rsid w:val="00B233B8"/>
    <w:rsid w:val="00B2381F"/>
    <w:rsid w:val="00B23BEF"/>
    <w:rsid w:val="00B249E0"/>
    <w:rsid w:val="00B25A97"/>
    <w:rsid w:val="00B2602C"/>
    <w:rsid w:val="00B2620F"/>
    <w:rsid w:val="00B266A5"/>
    <w:rsid w:val="00B270A0"/>
    <w:rsid w:val="00B272C1"/>
    <w:rsid w:val="00B272D9"/>
    <w:rsid w:val="00B27876"/>
    <w:rsid w:val="00B278A7"/>
    <w:rsid w:val="00B27A19"/>
    <w:rsid w:val="00B3136A"/>
    <w:rsid w:val="00B31910"/>
    <w:rsid w:val="00B31B1E"/>
    <w:rsid w:val="00B31F17"/>
    <w:rsid w:val="00B32706"/>
    <w:rsid w:val="00B3395F"/>
    <w:rsid w:val="00B3417E"/>
    <w:rsid w:val="00B34538"/>
    <w:rsid w:val="00B34FE2"/>
    <w:rsid w:val="00B36561"/>
    <w:rsid w:val="00B36C35"/>
    <w:rsid w:val="00B37977"/>
    <w:rsid w:val="00B402C3"/>
    <w:rsid w:val="00B40544"/>
    <w:rsid w:val="00B40876"/>
    <w:rsid w:val="00B40C6D"/>
    <w:rsid w:val="00B40F81"/>
    <w:rsid w:val="00B41947"/>
    <w:rsid w:val="00B419F5"/>
    <w:rsid w:val="00B41A15"/>
    <w:rsid w:val="00B41CAC"/>
    <w:rsid w:val="00B41D04"/>
    <w:rsid w:val="00B41DDE"/>
    <w:rsid w:val="00B4233D"/>
    <w:rsid w:val="00B43028"/>
    <w:rsid w:val="00B448D0"/>
    <w:rsid w:val="00B451BB"/>
    <w:rsid w:val="00B451DE"/>
    <w:rsid w:val="00B458DD"/>
    <w:rsid w:val="00B459D2"/>
    <w:rsid w:val="00B46DAB"/>
    <w:rsid w:val="00B477BE"/>
    <w:rsid w:val="00B477DC"/>
    <w:rsid w:val="00B477F6"/>
    <w:rsid w:val="00B478E0"/>
    <w:rsid w:val="00B47FE6"/>
    <w:rsid w:val="00B508C6"/>
    <w:rsid w:val="00B50CBC"/>
    <w:rsid w:val="00B51583"/>
    <w:rsid w:val="00B521BF"/>
    <w:rsid w:val="00B5287B"/>
    <w:rsid w:val="00B52E8D"/>
    <w:rsid w:val="00B52FD0"/>
    <w:rsid w:val="00B53061"/>
    <w:rsid w:val="00B54C1C"/>
    <w:rsid w:val="00B55662"/>
    <w:rsid w:val="00B556FF"/>
    <w:rsid w:val="00B55EBC"/>
    <w:rsid w:val="00B561AC"/>
    <w:rsid w:val="00B56466"/>
    <w:rsid w:val="00B574AE"/>
    <w:rsid w:val="00B57B67"/>
    <w:rsid w:val="00B61124"/>
    <w:rsid w:val="00B63385"/>
    <w:rsid w:val="00B65134"/>
    <w:rsid w:val="00B656D5"/>
    <w:rsid w:val="00B65B69"/>
    <w:rsid w:val="00B66766"/>
    <w:rsid w:val="00B66D07"/>
    <w:rsid w:val="00B66EB7"/>
    <w:rsid w:val="00B66F7C"/>
    <w:rsid w:val="00B67453"/>
    <w:rsid w:val="00B67D1D"/>
    <w:rsid w:val="00B70054"/>
    <w:rsid w:val="00B701BE"/>
    <w:rsid w:val="00B72949"/>
    <w:rsid w:val="00B73495"/>
    <w:rsid w:val="00B74E7D"/>
    <w:rsid w:val="00B74F8F"/>
    <w:rsid w:val="00B755A5"/>
    <w:rsid w:val="00B76934"/>
    <w:rsid w:val="00B76B10"/>
    <w:rsid w:val="00B770BC"/>
    <w:rsid w:val="00B7782C"/>
    <w:rsid w:val="00B77C40"/>
    <w:rsid w:val="00B8014D"/>
    <w:rsid w:val="00B8015A"/>
    <w:rsid w:val="00B80758"/>
    <w:rsid w:val="00B81ADE"/>
    <w:rsid w:val="00B81C2C"/>
    <w:rsid w:val="00B82326"/>
    <w:rsid w:val="00B82412"/>
    <w:rsid w:val="00B827EF"/>
    <w:rsid w:val="00B82D10"/>
    <w:rsid w:val="00B83C31"/>
    <w:rsid w:val="00B84461"/>
    <w:rsid w:val="00B84664"/>
    <w:rsid w:val="00B84D6C"/>
    <w:rsid w:val="00B869A8"/>
    <w:rsid w:val="00B87573"/>
    <w:rsid w:val="00B912CE"/>
    <w:rsid w:val="00B91E96"/>
    <w:rsid w:val="00B92021"/>
    <w:rsid w:val="00B92C9E"/>
    <w:rsid w:val="00B92F56"/>
    <w:rsid w:val="00B93259"/>
    <w:rsid w:val="00B934A1"/>
    <w:rsid w:val="00B95C01"/>
    <w:rsid w:val="00B966EC"/>
    <w:rsid w:val="00B96CA3"/>
    <w:rsid w:val="00BA1050"/>
    <w:rsid w:val="00BA11BF"/>
    <w:rsid w:val="00BA1597"/>
    <w:rsid w:val="00BA1862"/>
    <w:rsid w:val="00BA2392"/>
    <w:rsid w:val="00BA2665"/>
    <w:rsid w:val="00BA2AAB"/>
    <w:rsid w:val="00BA3C33"/>
    <w:rsid w:val="00BA3FEC"/>
    <w:rsid w:val="00BA42D0"/>
    <w:rsid w:val="00BA44CF"/>
    <w:rsid w:val="00BA49F7"/>
    <w:rsid w:val="00BA4F0F"/>
    <w:rsid w:val="00BA5C29"/>
    <w:rsid w:val="00BA71E3"/>
    <w:rsid w:val="00BB0253"/>
    <w:rsid w:val="00BB0946"/>
    <w:rsid w:val="00BB15AB"/>
    <w:rsid w:val="00BB1D12"/>
    <w:rsid w:val="00BB1FF0"/>
    <w:rsid w:val="00BB232F"/>
    <w:rsid w:val="00BB2376"/>
    <w:rsid w:val="00BB2937"/>
    <w:rsid w:val="00BB4EA9"/>
    <w:rsid w:val="00BB54AF"/>
    <w:rsid w:val="00BB5BC0"/>
    <w:rsid w:val="00BB5C77"/>
    <w:rsid w:val="00BB5FD6"/>
    <w:rsid w:val="00BB600F"/>
    <w:rsid w:val="00BB6223"/>
    <w:rsid w:val="00BB6930"/>
    <w:rsid w:val="00BB694E"/>
    <w:rsid w:val="00BB7734"/>
    <w:rsid w:val="00BB7D2C"/>
    <w:rsid w:val="00BC033E"/>
    <w:rsid w:val="00BC052E"/>
    <w:rsid w:val="00BC16D3"/>
    <w:rsid w:val="00BC1A88"/>
    <w:rsid w:val="00BC2456"/>
    <w:rsid w:val="00BC3302"/>
    <w:rsid w:val="00BC3E14"/>
    <w:rsid w:val="00BC4000"/>
    <w:rsid w:val="00BC402B"/>
    <w:rsid w:val="00BC60E5"/>
    <w:rsid w:val="00BC64CB"/>
    <w:rsid w:val="00BC738E"/>
    <w:rsid w:val="00BC7617"/>
    <w:rsid w:val="00BD0187"/>
    <w:rsid w:val="00BD104F"/>
    <w:rsid w:val="00BD1277"/>
    <w:rsid w:val="00BD1582"/>
    <w:rsid w:val="00BD2647"/>
    <w:rsid w:val="00BD2C69"/>
    <w:rsid w:val="00BD2CB2"/>
    <w:rsid w:val="00BD2FFE"/>
    <w:rsid w:val="00BD3228"/>
    <w:rsid w:val="00BD35B4"/>
    <w:rsid w:val="00BD4349"/>
    <w:rsid w:val="00BD478B"/>
    <w:rsid w:val="00BD47B1"/>
    <w:rsid w:val="00BD495C"/>
    <w:rsid w:val="00BD4F6B"/>
    <w:rsid w:val="00BD4FCF"/>
    <w:rsid w:val="00BD6C10"/>
    <w:rsid w:val="00BD6EB6"/>
    <w:rsid w:val="00BD753D"/>
    <w:rsid w:val="00BD79D4"/>
    <w:rsid w:val="00BD7C98"/>
    <w:rsid w:val="00BE0186"/>
    <w:rsid w:val="00BE06F7"/>
    <w:rsid w:val="00BE0E0C"/>
    <w:rsid w:val="00BE1542"/>
    <w:rsid w:val="00BE2F74"/>
    <w:rsid w:val="00BE3F10"/>
    <w:rsid w:val="00BE4AFA"/>
    <w:rsid w:val="00BE555C"/>
    <w:rsid w:val="00BE5801"/>
    <w:rsid w:val="00BE6EB8"/>
    <w:rsid w:val="00BE73A0"/>
    <w:rsid w:val="00BE74E5"/>
    <w:rsid w:val="00BE7549"/>
    <w:rsid w:val="00BE7C95"/>
    <w:rsid w:val="00BF0304"/>
    <w:rsid w:val="00BF0BB7"/>
    <w:rsid w:val="00BF134A"/>
    <w:rsid w:val="00BF14BA"/>
    <w:rsid w:val="00BF1A2C"/>
    <w:rsid w:val="00BF1B42"/>
    <w:rsid w:val="00BF1CEC"/>
    <w:rsid w:val="00BF258C"/>
    <w:rsid w:val="00BF551E"/>
    <w:rsid w:val="00BF5B5F"/>
    <w:rsid w:val="00BF5D84"/>
    <w:rsid w:val="00BF6111"/>
    <w:rsid w:val="00BF6159"/>
    <w:rsid w:val="00BF6506"/>
    <w:rsid w:val="00BF6651"/>
    <w:rsid w:val="00BF68C4"/>
    <w:rsid w:val="00BF6AAF"/>
    <w:rsid w:val="00BF6C40"/>
    <w:rsid w:val="00BF6C99"/>
    <w:rsid w:val="00BF729B"/>
    <w:rsid w:val="00BF77BA"/>
    <w:rsid w:val="00BF7865"/>
    <w:rsid w:val="00BF7D12"/>
    <w:rsid w:val="00C00939"/>
    <w:rsid w:val="00C00C80"/>
    <w:rsid w:val="00C0121E"/>
    <w:rsid w:val="00C01543"/>
    <w:rsid w:val="00C02CBD"/>
    <w:rsid w:val="00C02FDB"/>
    <w:rsid w:val="00C03ECC"/>
    <w:rsid w:val="00C0454C"/>
    <w:rsid w:val="00C04D10"/>
    <w:rsid w:val="00C04E69"/>
    <w:rsid w:val="00C0502E"/>
    <w:rsid w:val="00C05392"/>
    <w:rsid w:val="00C054B0"/>
    <w:rsid w:val="00C056BC"/>
    <w:rsid w:val="00C063E5"/>
    <w:rsid w:val="00C06457"/>
    <w:rsid w:val="00C065B9"/>
    <w:rsid w:val="00C06D2E"/>
    <w:rsid w:val="00C06D99"/>
    <w:rsid w:val="00C06F6C"/>
    <w:rsid w:val="00C07F15"/>
    <w:rsid w:val="00C10C51"/>
    <w:rsid w:val="00C10D63"/>
    <w:rsid w:val="00C10DEC"/>
    <w:rsid w:val="00C1205E"/>
    <w:rsid w:val="00C120EE"/>
    <w:rsid w:val="00C12325"/>
    <w:rsid w:val="00C12678"/>
    <w:rsid w:val="00C13655"/>
    <w:rsid w:val="00C15916"/>
    <w:rsid w:val="00C15B59"/>
    <w:rsid w:val="00C15DC2"/>
    <w:rsid w:val="00C16D27"/>
    <w:rsid w:val="00C17145"/>
    <w:rsid w:val="00C17176"/>
    <w:rsid w:val="00C1772C"/>
    <w:rsid w:val="00C207D5"/>
    <w:rsid w:val="00C20AB8"/>
    <w:rsid w:val="00C21562"/>
    <w:rsid w:val="00C223B6"/>
    <w:rsid w:val="00C22962"/>
    <w:rsid w:val="00C22D03"/>
    <w:rsid w:val="00C23056"/>
    <w:rsid w:val="00C2332C"/>
    <w:rsid w:val="00C235E2"/>
    <w:rsid w:val="00C237E3"/>
    <w:rsid w:val="00C23F4B"/>
    <w:rsid w:val="00C245A0"/>
    <w:rsid w:val="00C25238"/>
    <w:rsid w:val="00C2635A"/>
    <w:rsid w:val="00C2782B"/>
    <w:rsid w:val="00C27A5D"/>
    <w:rsid w:val="00C27FE6"/>
    <w:rsid w:val="00C307D4"/>
    <w:rsid w:val="00C3094D"/>
    <w:rsid w:val="00C30E7F"/>
    <w:rsid w:val="00C31616"/>
    <w:rsid w:val="00C31AC1"/>
    <w:rsid w:val="00C32051"/>
    <w:rsid w:val="00C324BE"/>
    <w:rsid w:val="00C3321D"/>
    <w:rsid w:val="00C33D54"/>
    <w:rsid w:val="00C345F3"/>
    <w:rsid w:val="00C3675F"/>
    <w:rsid w:val="00C3690D"/>
    <w:rsid w:val="00C36FB7"/>
    <w:rsid w:val="00C37A66"/>
    <w:rsid w:val="00C37B33"/>
    <w:rsid w:val="00C4013F"/>
    <w:rsid w:val="00C40771"/>
    <w:rsid w:val="00C40D3B"/>
    <w:rsid w:val="00C4223D"/>
    <w:rsid w:val="00C42D64"/>
    <w:rsid w:val="00C42F9F"/>
    <w:rsid w:val="00C43679"/>
    <w:rsid w:val="00C4427F"/>
    <w:rsid w:val="00C449C1"/>
    <w:rsid w:val="00C44E13"/>
    <w:rsid w:val="00C4598A"/>
    <w:rsid w:val="00C45BB6"/>
    <w:rsid w:val="00C45C10"/>
    <w:rsid w:val="00C45D52"/>
    <w:rsid w:val="00C45F2D"/>
    <w:rsid w:val="00C46463"/>
    <w:rsid w:val="00C4746B"/>
    <w:rsid w:val="00C50CC8"/>
    <w:rsid w:val="00C52198"/>
    <w:rsid w:val="00C5271A"/>
    <w:rsid w:val="00C52A6E"/>
    <w:rsid w:val="00C52DAA"/>
    <w:rsid w:val="00C53382"/>
    <w:rsid w:val="00C53A02"/>
    <w:rsid w:val="00C54F0D"/>
    <w:rsid w:val="00C54F41"/>
    <w:rsid w:val="00C54F57"/>
    <w:rsid w:val="00C55293"/>
    <w:rsid w:val="00C55F46"/>
    <w:rsid w:val="00C5722B"/>
    <w:rsid w:val="00C57273"/>
    <w:rsid w:val="00C57B58"/>
    <w:rsid w:val="00C57E65"/>
    <w:rsid w:val="00C60EAC"/>
    <w:rsid w:val="00C6202F"/>
    <w:rsid w:val="00C629CD"/>
    <w:rsid w:val="00C63986"/>
    <w:rsid w:val="00C63E60"/>
    <w:rsid w:val="00C650A7"/>
    <w:rsid w:val="00C6519B"/>
    <w:rsid w:val="00C65339"/>
    <w:rsid w:val="00C65EA2"/>
    <w:rsid w:val="00C66862"/>
    <w:rsid w:val="00C70186"/>
    <w:rsid w:val="00C70807"/>
    <w:rsid w:val="00C70CF6"/>
    <w:rsid w:val="00C711F4"/>
    <w:rsid w:val="00C71573"/>
    <w:rsid w:val="00C71F88"/>
    <w:rsid w:val="00C720DD"/>
    <w:rsid w:val="00C73626"/>
    <w:rsid w:val="00C73C49"/>
    <w:rsid w:val="00C750B1"/>
    <w:rsid w:val="00C75288"/>
    <w:rsid w:val="00C7620A"/>
    <w:rsid w:val="00C76B97"/>
    <w:rsid w:val="00C778A0"/>
    <w:rsid w:val="00C77CCA"/>
    <w:rsid w:val="00C822B8"/>
    <w:rsid w:val="00C8233C"/>
    <w:rsid w:val="00C82722"/>
    <w:rsid w:val="00C8283E"/>
    <w:rsid w:val="00C82919"/>
    <w:rsid w:val="00C830C2"/>
    <w:rsid w:val="00C83264"/>
    <w:rsid w:val="00C835BE"/>
    <w:rsid w:val="00C84284"/>
    <w:rsid w:val="00C85328"/>
    <w:rsid w:val="00C85924"/>
    <w:rsid w:val="00C85A1A"/>
    <w:rsid w:val="00C867F6"/>
    <w:rsid w:val="00C8681F"/>
    <w:rsid w:val="00C87830"/>
    <w:rsid w:val="00C8798E"/>
    <w:rsid w:val="00C90AA3"/>
    <w:rsid w:val="00C90B7D"/>
    <w:rsid w:val="00C915EF"/>
    <w:rsid w:val="00C91847"/>
    <w:rsid w:val="00C91A27"/>
    <w:rsid w:val="00C927C2"/>
    <w:rsid w:val="00C932D0"/>
    <w:rsid w:val="00C93692"/>
    <w:rsid w:val="00C9432B"/>
    <w:rsid w:val="00C94967"/>
    <w:rsid w:val="00C95181"/>
    <w:rsid w:val="00C9592B"/>
    <w:rsid w:val="00C96B0D"/>
    <w:rsid w:val="00C96C97"/>
    <w:rsid w:val="00C97561"/>
    <w:rsid w:val="00C97A19"/>
    <w:rsid w:val="00C97B79"/>
    <w:rsid w:val="00C97EAD"/>
    <w:rsid w:val="00CA0049"/>
    <w:rsid w:val="00CA03D6"/>
    <w:rsid w:val="00CA0731"/>
    <w:rsid w:val="00CA1294"/>
    <w:rsid w:val="00CA18FC"/>
    <w:rsid w:val="00CA1D66"/>
    <w:rsid w:val="00CA2947"/>
    <w:rsid w:val="00CA2C09"/>
    <w:rsid w:val="00CA2C84"/>
    <w:rsid w:val="00CA38F4"/>
    <w:rsid w:val="00CA3C07"/>
    <w:rsid w:val="00CA3CC8"/>
    <w:rsid w:val="00CA401B"/>
    <w:rsid w:val="00CA40A1"/>
    <w:rsid w:val="00CA47C4"/>
    <w:rsid w:val="00CA6976"/>
    <w:rsid w:val="00CA7E76"/>
    <w:rsid w:val="00CB0A28"/>
    <w:rsid w:val="00CB1003"/>
    <w:rsid w:val="00CB13A8"/>
    <w:rsid w:val="00CB1718"/>
    <w:rsid w:val="00CB2852"/>
    <w:rsid w:val="00CB2972"/>
    <w:rsid w:val="00CB2CB7"/>
    <w:rsid w:val="00CB2EDA"/>
    <w:rsid w:val="00CB3461"/>
    <w:rsid w:val="00CB3877"/>
    <w:rsid w:val="00CB424A"/>
    <w:rsid w:val="00CB488F"/>
    <w:rsid w:val="00CB4B14"/>
    <w:rsid w:val="00CB4F4A"/>
    <w:rsid w:val="00CB5286"/>
    <w:rsid w:val="00CB5518"/>
    <w:rsid w:val="00CB599C"/>
    <w:rsid w:val="00CB68E0"/>
    <w:rsid w:val="00CB6923"/>
    <w:rsid w:val="00CB731E"/>
    <w:rsid w:val="00CB736E"/>
    <w:rsid w:val="00CB7473"/>
    <w:rsid w:val="00CC0104"/>
    <w:rsid w:val="00CC11B9"/>
    <w:rsid w:val="00CC1270"/>
    <w:rsid w:val="00CC1CBD"/>
    <w:rsid w:val="00CC2123"/>
    <w:rsid w:val="00CC2756"/>
    <w:rsid w:val="00CC2B7A"/>
    <w:rsid w:val="00CC3C9D"/>
    <w:rsid w:val="00CC4A59"/>
    <w:rsid w:val="00CC5B2B"/>
    <w:rsid w:val="00CC6A94"/>
    <w:rsid w:val="00CC756A"/>
    <w:rsid w:val="00CC7974"/>
    <w:rsid w:val="00CC7FD1"/>
    <w:rsid w:val="00CD0091"/>
    <w:rsid w:val="00CD093D"/>
    <w:rsid w:val="00CD0C5B"/>
    <w:rsid w:val="00CD2499"/>
    <w:rsid w:val="00CD2685"/>
    <w:rsid w:val="00CD2994"/>
    <w:rsid w:val="00CD2D21"/>
    <w:rsid w:val="00CD3216"/>
    <w:rsid w:val="00CD3A08"/>
    <w:rsid w:val="00CD3C12"/>
    <w:rsid w:val="00CD3C74"/>
    <w:rsid w:val="00CD3D44"/>
    <w:rsid w:val="00CD3E1C"/>
    <w:rsid w:val="00CD4152"/>
    <w:rsid w:val="00CD43C7"/>
    <w:rsid w:val="00CD4748"/>
    <w:rsid w:val="00CD4CAB"/>
    <w:rsid w:val="00CD4D96"/>
    <w:rsid w:val="00CD5150"/>
    <w:rsid w:val="00CD51E4"/>
    <w:rsid w:val="00CD6F7C"/>
    <w:rsid w:val="00CE1F40"/>
    <w:rsid w:val="00CE298E"/>
    <w:rsid w:val="00CE2D43"/>
    <w:rsid w:val="00CE3696"/>
    <w:rsid w:val="00CE379F"/>
    <w:rsid w:val="00CE3DE6"/>
    <w:rsid w:val="00CE4404"/>
    <w:rsid w:val="00CE480F"/>
    <w:rsid w:val="00CE4F1E"/>
    <w:rsid w:val="00CE5C25"/>
    <w:rsid w:val="00CE5D72"/>
    <w:rsid w:val="00CE619C"/>
    <w:rsid w:val="00CF1357"/>
    <w:rsid w:val="00CF1E04"/>
    <w:rsid w:val="00CF247C"/>
    <w:rsid w:val="00CF2E65"/>
    <w:rsid w:val="00CF424F"/>
    <w:rsid w:val="00CF458F"/>
    <w:rsid w:val="00CF4A84"/>
    <w:rsid w:val="00CF558F"/>
    <w:rsid w:val="00CF5881"/>
    <w:rsid w:val="00CF59EA"/>
    <w:rsid w:val="00CF5B3C"/>
    <w:rsid w:val="00D01FE3"/>
    <w:rsid w:val="00D0222A"/>
    <w:rsid w:val="00D02243"/>
    <w:rsid w:val="00D02DB2"/>
    <w:rsid w:val="00D0315F"/>
    <w:rsid w:val="00D0346D"/>
    <w:rsid w:val="00D03548"/>
    <w:rsid w:val="00D03AA8"/>
    <w:rsid w:val="00D03B21"/>
    <w:rsid w:val="00D03EA2"/>
    <w:rsid w:val="00D0474C"/>
    <w:rsid w:val="00D04A28"/>
    <w:rsid w:val="00D059C8"/>
    <w:rsid w:val="00D0660D"/>
    <w:rsid w:val="00D07B98"/>
    <w:rsid w:val="00D11A59"/>
    <w:rsid w:val="00D127C6"/>
    <w:rsid w:val="00D12967"/>
    <w:rsid w:val="00D13AF4"/>
    <w:rsid w:val="00D140BA"/>
    <w:rsid w:val="00D14E75"/>
    <w:rsid w:val="00D15746"/>
    <w:rsid w:val="00D16242"/>
    <w:rsid w:val="00D16248"/>
    <w:rsid w:val="00D163F4"/>
    <w:rsid w:val="00D16730"/>
    <w:rsid w:val="00D16A6D"/>
    <w:rsid w:val="00D16C16"/>
    <w:rsid w:val="00D16E44"/>
    <w:rsid w:val="00D209D2"/>
    <w:rsid w:val="00D20C08"/>
    <w:rsid w:val="00D20CDB"/>
    <w:rsid w:val="00D20EA5"/>
    <w:rsid w:val="00D211CB"/>
    <w:rsid w:val="00D21BBB"/>
    <w:rsid w:val="00D22426"/>
    <w:rsid w:val="00D22743"/>
    <w:rsid w:val="00D228C8"/>
    <w:rsid w:val="00D228CF"/>
    <w:rsid w:val="00D22958"/>
    <w:rsid w:val="00D22B73"/>
    <w:rsid w:val="00D26415"/>
    <w:rsid w:val="00D2727E"/>
    <w:rsid w:val="00D30701"/>
    <w:rsid w:val="00D30A47"/>
    <w:rsid w:val="00D30F18"/>
    <w:rsid w:val="00D32483"/>
    <w:rsid w:val="00D32F78"/>
    <w:rsid w:val="00D3350F"/>
    <w:rsid w:val="00D342A4"/>
    <w:rsid w:val="00D34616"/>
    <w:rsid w:val="00D34D87"/>
    <w:rsid w:val="00D35856"/>
    <w:rsid w:val="00D35B88"/>
    <w:rsid w:val="00D36133"/>
    <w:rsid w:val="00D3655A"/>
    <w:rsid w:val="00D36698"/>
    <w:rsid w:val="00D366A5"/>
    <w:rsid w:val="00D36A35"/>
    <w:rsid w:val="00D41A14"/>
    <w:rsid w:val="00D429C4"/>
    <w:rsid w:val="00D436AF"/>
    <w:rsid w:val="00D43CA2"/>
    <w:rsid w:val="00D4439E"/>
    <w:rsid w:val="00D44A62"/>
    <w:rsid w:val="00D45762"/>
    <w:rsid w:val="00D45EBA"/>
    <w:rsid w:val="00D461E0"/>
    <w:rsid w:val="00D46655"/>
    <w:rsid w:val="00D468B3"/>
    <w:rsid w:val="00D46E78"/>
    <w:rsid w:val="00D47B5E"/>
    <w:rsid w:val="00D47B9E"/>
    <w:rsid w:val="00D47F64"/>
    <w:rsid w:val="00D506A1"/>
    <w:rsid w:val="00D50FC5"/>
    <w:rsid w:val="00D51B76"/>
    <w:rsid w:val="00D52C91"/>
    <w:rsid w:val="00D54802"/>
    <w:rsid w:val="00D54D65"/>
    <w:rsid w:val="00D54F42"/>
    <w:rsid w:val="00D572BA"/>
    <w:rsid w:val="00D57541"/>
    <w:rsid w:val="00D57D6E"/>
    <w:rsid w:val="00D60550"/>
    <w:rsid w:val="00D60926"/>
    <w:rsid w:val="00D62DD9"/>
    <w:rsid w:val="00D630E2"/>
    <w:rsid w:val="00D63225"/>
    <w:rsid w:val="00D63AB4"/>
    <w:rsid w:val="00D63FD4"/>
    <w:rsid w:val="00D63FDE"/>
    <w:rsid w:val="00D64602"/>
    <w:rsid w:val="00D649E8"/>
    <w:rsid w:val="00D650C1"/>
    <w:rsid w:val="00D656AC"/>
    <w:rsid w:val="00D66778"/>
    <w:rsid w:val="00D6699C"/>
    <w:rsid w:val="00D66ABC"/>
    <w:rsid w:val="00D673C4"/>
    <w:rsid w:val="00D675FC"/>
    <w:rsid w:val="00D67967"/>
    <w:rsid w:val="00D67DD9"/>
    <w:rsid w:val="00D70D51"/>
    <w:rsid w:val="00D715E1"/>
    <w:rsid w:val="00D71765"/>
    <w:rsid w:val="00D71F5C"/>
    <w:rsid w:val="00D7324D"/>
    <w:rsid w:val="00D741CD"/>
    <w:rsid w:val="00D7550D"/>
    <w:rsid w:val="00D75A22"/>
    <w:rsid w:val="00D75E89"/>
    <w:rsid w:val="00D7685B"/>
    <w:rsid w:val="00D76F36"/>
    <w:rsid w:val="00D77314"/>
    <w:rsid w:val="00D778B3"/>
    <w:rsid w:val="00D779FF"/>
    <w:rsid w:val="00D80E7D"/>
    <w:rsid w:val="00D8117E"/>
    <w:rsid w:val="00D81283"/>
    <w:rsid w:val="00D81719"/>
    <w:rsid w:val="00D82EC7"/>
    <w:rsid w:val="00D83C06"/>
    <w:rsid w:val="00D850CF"/>
    <w:rsid w:val="00D855F9"/>
    <w:rsid w:val="00D85981"/>
    <w:rsid w:val="00D85DB0"/>
    <w:rsid w:val="00D86E4C"/>
    <w:rsid w:val="00D87057"/>
    <w:rsid w:val="00D87198"/>
    <w:rsid w:val="00D87402"/>
    <w:rsid w:val="00D87408"/>
    <w:rsid w:val="00D91292"/>
    <w:rsid w:val="00D91C71"/>
    <w:rsid w:val="00D91DBB"/>
    <w:rsid w:val="00D92BEC"/>
    <w:rsid w:val="00D92C0A"/>
    <w:rsid w:val="00D937C8"/>
    <w:rsid w:val="00D94620"/>
    <w:rsid w:val="00D965D1"/>
    <w:rsid w:val="00D97A31"/>
    <w:rsid w:val="00D97BDA"/>
    <w:rsid w:val="00DA0C8C"/>
    <w:rsid w:val="00DA1101"/>
    <w:rsid w:val="00DA12F5"/>
    <w:rsid w:val="00DA1C78"/>
    <w:rsid w:val="00DA1ED4"/>
    <w:rsid w:val="00DA2012"/>
    <w:rsid w:val="00DA25D9"/>
    <w:rsid w:val="00DA3AC1"/>
    <w:rsid w:val="00DA3C3F"/>
    <w:rsid w:val="00DA4EE2"/>
    <w:rsid w:val="00DA5864"/>
    <w:rsid w:val="00DA65A0"/>
    <w:rsid w:val="00DA6747"/>
    <w:rsid w:val="00DA6873"/>
    <w:rsid w:val="00DA6993"/>
    <w:rsid w:val="00DA7EA9"/>
    <w:rsid w:val="00DA7F46"/>
    <w:rsid w:val="00DB0123"/>
    <w:rsid w:val="00DB0CB8"/>
    <w:rsid w:val="00DB15A3"/>
    <w:rsid w:val="00DB2E47"/>
    <w:rsid w:val="00DB3572"/>
    <w:rsid w:val="00DB370F"/>
    <w:rsid w:val="00DB3CB3"/>
    <w:rsid w:val="00DB4673"/>
    <w:rsid w:val="00DB4FBE"/>
    <w:rsid w:val="00DB5287"/>
    <w:rsid w:val="00DB5961"/>
    <w:rsid w:val="00DB6148"/>
    <w:rsid w:val="00DB63EB"/>
    <w:rsid w:val="00DB65B8"/>
    <w:rsid w:val="00DB7005"/>
    <w:rsid w:val="00DB73C5"/>
    <w:rsid w:val="00DB7AF4"/>
    <w:rsid w:val="00DB7BF8"/>
    <w:rsid w:val="00DB7CA2"/>
    <w:rsid w:val="00DC031F"/>
    <w:rsid w:val="00DC0886"/>
    <w:rsid w:val="00DC117E"/>
    <w:rsid w:val="00DC1D1F"/>
    <w:rsid w:val="00DC20FD"/>
    <w:rsid w:val="00DC22FD"/>
    <w:rsid w:val="00DC29E8"/>
    <w:rsid w:val="00DC2C80"/>
    <w:rsid w:val="00DC2D34"/>
    <w:rsid w:val="00DC31B4"/>
    <w:rsid w:val="00DC34EF"/>
    <w:rsid w:val="00DC3736"/>
    <w:rsid w:val="00DC49E3"/>
    <w:rsid w:val="00DC5D65"/>
    <w:rsid w:val="00DC6105"/>
    <w:rsid w:val="00DC6839"/>
    <w:rsid w:val="00DC739E"/>
    <w:rsid w:val="00DD01E2"/>
    <w:rsid w:val="00DD0281"/>
    <w:rsid w:val="00DD1DC7"/>
    <w:rsid w:val="00DD203D"/>
    <w:rsid w:val="00DD2486"/>
    <w:rsid w:val="00DD2819"/>
    <w:rsid w:val="00DD2AC7"/>
    <w:rsid w:val="00DD30B7"/>
    <w:rsid w:val="00DD3BE9"/>
    <w:rsid w:val="00DD4534"/>
    <w:rsid w:val="00DD45D2"/>
    <w:rsid w:val="00DD61FA"/>
    <w:rsid w:val="00DD624C"/>
    <w:rsid w:val="00DD6420"/>
    <w:rsid w:val="00DD6572"/>
    <w:rsid w:val="00DD761B"/>
    <w:rsid w:val="00DD7679"/>
    <w:rsid w:val="00DD7B7B"/>
    <w:rsid w:val="00DE2827"/>
    <w:rsid w:val="00DE2BD5"/>
    <w:rsid w:val="00DE391D"/>
    <w:rsid w:val="00DE441C"/>
    <w:rsid w:val="00DE469C"/>
    <w:rsid w:val="00DE5126"/>
    <w:rsid w:val="00DE564E"/>
    <w:rsid w:val="00DE56A0"/>
    <w:rsid w:val="00DE64B1"/>
    <w:rsid w:val="00DE6ACE"/>
    <w:rsid w:val="00DE757E"/>
    <w:rsid w:val="00DF1487"/>
    <w:rsid w:val="00DF1BA7"/>
    <w:rsid w:val="00DF293E"/>
    <w:rsid w:val="00DF2E4F"/>
    <w:rsid w:val="00DF37A3"/>
    <w:rsid w:val="00DF46AC"/>
    <w:rsid w:val="00DF48AD"/>
    <w:rsid w:val="00DF4D1D"/>
    <w:rsid w:val="00DF5309"/>
    <w:rsid w:val="00DF58DE"/>
    <w:rsid w:val="00DF6D33"/>
    <w:rsid w:val="00DF6DB7"/>
    <w:rsid w:val="00DF6F19"/>
    <w:rsid w:val="00DF704F"/>
    <w:rsid w:val="00DF71C0"/>
    <w:rsid w:val="00DF7355"/>
    <w:rsid w:val="00E00ADC"/>
    <w:rsid w:val="00E02E80"/>
    <w:rsid w:val="00E061AC"/>
    <w:rsid w:val="00E06842"/>
    <w:rsid w:val="00E06FEF"/>
    <w:rsid w:val="00E07608"/>
    <w:rsid w:val="00E104A5"/>
    <w:rsid w:val="00E12998"/>
    <w:rsid w:val="00E12E45"/>
    <w:rsid w:val="00E13BA3"/>
    <w:rsid w:val="00E1409C"/>
    <w:rsid w:val="00E14338"/>
    <w:rsid w:val="00E14597"/>
    <w:rsid w:val="00E155A1"/>
    <w:rsid w:val="00E15E18"/>
    <w:rsid w:val="00E1649D"/>
    <w:rsid w:val="00E170EA"/>
    <w:rsid w:val="00E1757E"/>
    <w:rsid w:val="00E204EF"/>
    <w:rsid w:val="00E20DA3"/>
    <w:rsid w:val="00E214A5"/>
    <w:rsid w:val="00E21B9C"/>
    <w:rsid w:val="00E231C2"/>
    <w:rsid w:val="00E24099"/>
    <w:rsid w:val="00E24244"/>
    <w:rsid w:val="00E24D32"/>
    <w:rsid w:val="00E25B08"/>
    <w:rsid w:val="00E25BAC"/>
    <w:rsid w:val="00E26724"/>
    <w:rsid w:val="00E26CC3"/>
    <w:rsid w:val="00E27AE5"/>
    <w:rsid w:val="00E30234"/>
    <w:rsid w:val="00E302F9"/>
    <w:rsid w:val="00E308C0"/>
    <w:rsid w:val="00E308DA"/>
    <w:rsid w:val="00E30C8C"/>
    <w:rsid w:val="00E31257"/>
    <w:rsid w:val="00E31433"/>
    <w:rsid w:val="00E31EDF"/>
    <w:rsid w:val="00E335EF"/>
    <w:rsid w:val="00E33CEB"/>
    <w:rsid w:val="00E34321"/>
    <w:rsid w:val="00E351A1"/>
    <w:rsid w:val="00E352A8"/>
    <w:rsid w:val="00E35B2D"/>
    <w:rsid w:val="00E36015"/>
    <w:rsid w:val="00E362AB"/>
    <w:rsid w:val="00E363DA"/>
    <w:rsid w:val="00E36B57"/>
    <w:rsid w:val="00E36BD2"/>
    <w:rsid w:val="00E36BD9"/>
    <w:rsid w:val="00E36D33"/>
    <w:rsid w:val="00E37471"/>
    <w:rsid w:val="00E37814"/>
    <w:rsid w:val="00E37888"/>
    <w:rsid w:val="00E37DC1"/>
    <w:rsid w:val="00E4015F"/>
    <w:rsid w:val="00E41292"/>
    <w:rsid w:val="00E41F94"/>
    <w:rsid w:val="00E422C1"/>
    <w:rsid w:val="00E44124"/>
    <w:rsid w:val="00E446F6"/>
    <w:rsid w:val="00E45EEB"/>
    <w:rsid w:val="00E4673E"/>
    <w:rsid w:val="00E46B39"/>
    <w:rsid w:val="00E47DBA"/>
    <w:rsid w:val="00E5053B"/>
    <w:rsid w:val="00E5118F"/>
    <w:rsid w:val="00E518CE"/>
    <w:rsid w:val="00E51ABD"/>
    <w:rsid w:val="00E51DE9"/>
    <w:rsid w:val="00E52307"/>
    <w:rsid w:val="00E532A3"/>
    <w:rsid w:val="00E5370D"/>
    <w:rsid w:val="00E5371A"/>
    <w:rsid w:val="00E53AA8"/>
    <w:rsid w:val="00E54553"/>
    <w:rsid w:val="00E54AD0"/>
    <w:rsid w:val="00E5618F"/>
    <w:rsid w:val="00E5660F"/>
    <w:rsid w:val="00E56BCC"/>
    <w:rsid w:val="00E57396"/>
    <w:rsid w:val="00E605FA"/>
    <w:rsid w:val="00E60D1E"/>
    <w:rsid w:val="00E612FC"/>
    <w:rsid w:val="00E6195D"/>
    <w:rsid w:val="00E62057"/>
    <w:rsid w:val="00E62499"/>
    <w:rsid w:val="00E624CD"/>
    <w:rsid w:val="00E625B0"/>
    <w:rsid w:val="00E62AEE"/>
    <w:rsid w:val="00E63100"/>
    <w:rsid w:val="00E632AB"/>
    <w:rsid w:val="00E64227"/>
    <w:rsid w:val="00E65176"/>
    <w:rsid w:val="00E655A2"/>
    <w:rsid w:val="00E667FC"/>
    <w:rsid w:val="00E66DD2"/>
    <w:rsid w:val="00E67B2A"/>
    <w:rsid w:val="00E711DA"/>
    <w:rsid w:val="00E71ABB"/>
    <w:rsid w:val="00E72040"/>
    <w:rsid w:val="00E725D2"/>
    <w:rsid w:val="00E72939"/>
    <w:rsid w:val="00E7428D"/>
    <w:rsid w:val="00E74845"/>
    <w:rsid w:val="00E757E8"/>
    <w:rsid w:val="00E75915"/>
    <w:rsid w:val="00E76312"/>
    <w:rsid w:val="00E76442"/>
    <w:rsid w:val="00E804B9"/>
    <w:rsid w:val="00E808F9"/>
    <w:rsid w:val="00E80DA0"/>
    <w:rsid w:val="00E80E24"/>
    <w:rsid w:val="00E81447"/>
    <w:rsid w:val="00E815D8"/>
    <w:rsid w:val="00E81938"/>
    <w:rsid w:val="00E81999"/>
    <w:rsid w:val="00E82313"/>
    <w:rsid w:val="00E82C41"/>
    <w:rsid w:val="00E837F8"/>
    <w:rsid w:val="00E83ED1"/>
    <w:rsid w:val="00E83F63"/>
    <w:rsid w:val="00E84A46"/>
    <w:rsid w:val="00E84FFB"/>
    <w:rsid w:val="00E8597A"/>
    <w:rsid w:val="00E85BD7"/>
    <w:rsid w:val="00E86D10"/>
    <w:rsid w:val="00E87082"/>
    <w:rsid w:val="00E8761E"/>
    <w:rsid w:val="00E87ACE"/>
    <w:rsid w:val="00E87B93"/>
    <w:rsid w:val="00E87D20"/>
    <w:rsid w:val="00E900CF"/>
    <w:rsid w:val="00E914E0"/>
    <w:rsid w:val="00E918F1"/>
    <w:rsid w:val="00E91F4B"/>
    <w:rsid w:val="00E92AFB"/>
    <w:rsid w:val="00E93123"/>
    <w:rsid w:val="00E937B8"/>
    <w:rsid w:val="00E93852"/>
    <w:rsid w:val="00E947F2"/>
    <w:rsid w:val="00E94C94"/>
    <w:rsid w:val="00E94ED3"/>
    <w:rsid w:val="00E96598"/>
    <w:rsid w:val="00E96CFD"/>
    <w:rsid w:val="00E96EFA"/>
    <w:rsid w:val="00E972D0"/>
    <w:rsid w:val="00E978BA"/>
    <w:rsid w:val="00E97B71"/>
    <w:rsid w:val="00E97F1E"/>
    <w:rsid w:val="00EA00AE"/>
    <w:rsid w:val="00EA06C0"/>
    <w:rsid w:val="00EA0D25"/>
    <w:rsid w:val="00EA256D"/>
    <w:rsid w:val="00EA2E16"/>
    <w:rsid w:val="00EA3AAC"/>
    <w:rsid w:val="00EA42B7"/>
    <w:rsid w:val="00EA43E0"/>
    <w:rsid w:val="00EA50C7"/>
    <w:rsid w:val="00EA51F2"/>
    <w:rsid w:val="00EA5651"/>
    <w:rsid w:val="00EA58EB"/>
    <w:rsid w:val="00EB17D6"/>
    <w:rsid w:val="00EB1A0F"/>
    <w:rsid w:val="00EB1B24"/>
    <w:rsid w:val="00EB233F"/>
    <w:rsid w:val="00EB25D0"/>
    <w:rsid w:val="00EB263A"/>
    <w:rsid w:val="00EB2B43"/>
    <w:rsid w:val="00EB2FD6"/>
    <w:rsid w:val="00EB3016"/>
    <w:rsid w:val="00EB37FA"/>
    <w:rsid w:val="00EB4082"/>
    <w:rsid w:val="00EB4291"/>
    <w:rsid w:val="00EB4A71"/>
    <w:rsid w:val="00EB519A"/>
    <w:rsid w:val="00EB596C"/>
    <w:rsid w:val="00EB5CAA"/>
    <w:rsid w:val="00EB727C"/>
    <w:rsid w:val="00EC01B3"/>
    <w:rsid w:val="00EC0204"/>
    <w:rsid w:val="00EC0798"/>
    <w:rsid w:val="00EC0D0C"/>
    <w:rsid w:val="00EC0DAF"/>
    <w:rsid w:val="00EC1228"/>
    <w:rsid w:val="00EC22A8"/>
    <w:rsid w:val="00EC2933"/>
    <w:rsid w:val="00EC29D9"/>
    <w:rsid w:val="00EC4819"/>
    <w:rsid w:val="00EC5914"/>
    <w:rsid w:val="00EC5A65"/>
    <w:rsid w:val="00EC5EC1"/>
    <w:rsid w:val="00EC629E"/>
    <w:rsid w:val="00EC643B"/>
    <w:rsid w:val="00EC6BED"/>
    <w:rsid w:val="00EC7087"/>
    <w:rsid w:val="00EC718D"/>
    <w:rsid w:val="00EC7BBE"/>
    <w:rsid w:val="00ED059B"/>
    <w:rsid w:val="00ED171F"/>
    <w:rsid w:val="00ED1EC2"/>
    <w:rsid w:val="00ED1F7B"/>
    <w:rsid w:val="00ED2108"/>
    <w:rsid w:val="00ED26D9"/>
    <w:rsid w:val="00ED2744"/>
    <w:rsid w:val="00ED3467"/>
    <w:rsid w:val="00ED367D"/>
    <w:rsid w:val="00ED39EF"/>
    <w:rsid w:val="00ED3BCF"/>
    <w:rsid w:val="00ED3EC0"/>
    <w:rsid w:val="00ED4693"/>
    <w:rsid w:val="00ED570F"/>
    <w:rsid w:val="00ED6D44"/>
    <w:rsid w:val="00ED7899"/>
    <w:rsid w:val="00ED7BE0"/>
    <w:rsid w:val="00ED7CBD"/>
    <w:rsid w:val="00ED7EB9"/>
    <w:rsid w:val="00EE0F3B"/>
    <w:rsid w:val="00EE0F5D"/>
    <w:rsid w:val="00EE19C0"/>
    <w:rsid w:val="00EE1A0D"/>
    <w:rsid w:val="00EE1F10"/>
    <w:rsid w:val="00EE2AE6"/>
    <w:rsid w:val="00EE2C61"/>
    <w:rsid w:val="00EE3EE1"/>
    <w:rsid w:val="00EE4D72"/>
    <w:rsid w:val="00EE5F80"/>
    <w:rsid w:val="00EE6806"/>
    <w:rsid w:val="00EF069D"/>
    <w:rsid w:val="00EF0913"/>
    <w:rsid w:val="00EF095B"/>
    <w:rsid w:val="00EF1374"/>
    <w:rsid w:val="00EF14CD"/>
    <w:rsid w:val="00EF197A"/>
    <w:rsid w:val="00EF1C08"/>
    <w:rsid w:val="00EF1CAB"/>
    <w:rsid w:val="00EF1D91"/>
    <w:rsid w:val="00EF20F6"/>
    <w:rsid w:val="00EF2F84"/>
    <w:rsid w:val="00EF3354"/>
    <w:rsid w:val="00EF4E13"/>
    <w:rsid w:val="00EF5541"/>
    <w:rsid w:val="00EF5EDF"/>
    <w:rsid w:val="00EF621B"/>
    <w:rsid w:val="00EF69DC"/>
    <w:rsid w:val="00EF6B6D"/>
    <w:rsid w:val="00EF6EB8"/>
    <w:rsid w:val="00EF70B1"/>
    <w:rsid w:val="00F006E2"/>
    <w:rsid w:val="00F009B8"/>
    <w:rsid w:val="00F00DF1"/>
    <w:rsid w:val="00F02242"/>
    <w:rsid w:val="00F027C8"/>
    <w:rsid w:val="00F030F8"/>
    <w:rsid w:val="00F031E2"/>
    <w:rsid w:val="00F0350E"/>
    <w:rsid w:val="00F03514"/>
    <w:rsid w:val="00F04708"/>
    <w:rsid w:val="00F05029"/>
    <w:rsid w:val="00F055AB"/>
    <w:rsid w:val="00F0580A"/>
    <w:rsid w:val="00F058D2"/>
    <w:rsid w:val="00F05AF9"/>
    <w:rsid w:val="00F062A8"/>
    <w:rsid w:val="00F07056"/>
    <w:rsid w:val="00F102BC"/>
    <w:rsid w:val="00F108AA"/>
    <w:rsid w:val="00F10D90"/>
    <w:rsid w:val="00F110C7"/>
    <w:rsid w:val="00F11662"/>
    <w:rsid w:val="00F12252"/>
    <w:rsid w:val="00F14337"/>
    <w:rsid w:val="00F14405"/>
    <w:rsid w:val="00F14B60"/>
    <w:rsid w:val="00F14CC7"/>
    <w:rsid w:val="00F14CF6"/>
    <w:rsid w:val="00F16283"/>
    <w:rsid w:val="00F16294"/>
    <w:rsid w:val="00F16B39"/>
    <w:rsid w:val="00F16DE1"/>
    <w:rsid w:val="00F16E0B"/>
    <w:rsid w:val="00F17D65"/>
    <w:rsid w:val="00F20B72"/>
    <w:rsid w:val="00F20E83"/>
    <w:rsid w:val="00F22274"/>
    <w:rsid w:val="00F22C8C"/>
    <w:rsid w:val="00F235C2"/>
    <w:rsid w:val="00F23F1D"/>
    <w:rsid w:val="00F24567"/>
    <w:rsid w:val="00F2518E"/>
    <w:rsid w:val="00F25898"/>
    <w:rsid w:val="00F26113"/>
    <w:rsid w:val="00F26745"/>
    <w:rsid w:val="00F2677D"/>
    <w:rsid w:val="00F26DED"/>
    <w:rsid w:val="00F26F23"/>
    <w:rsid w:val="00F27FCB"/>
    <w:rsid w:val="00F30076"/>
    <w:rsid w:val="00F3008D"/>
    <w:rsid w:val="00F302B8"/>
    <w:rsid w:val="00F303F8"/>
    <w:rsid w:val="00F30645"/>
    <w:rsid w:val="00F3113D"/>
    <w:rsid w:val="00F312F8"/>
    <w:rsid w:val="00F325EB"/>
    <w:rsid w:val="00F327DD"/>
    <w:rsid w:val="00F33701"/>
    <w:rsid w:val="00F33D42"/>
    <w:rsid w:val="00F3487E"/>
    <w:rsid w:val="00F358D1"/>
    <w:rsid w:val="00F35AAE"/>
    <w:rsid w:val="00F36273"/>
    <w:rsid w:val="00F364F2"/>
    <w:rsid w:val="00F368B0"/>
    <w:rsid w:val="00F36B62"/>
    <w:rsid w:val="00F36F9A"/>
    <w:rsid w:val="00F40E03"/>
    <w:rsid w:val="00F427DE"/>
    <w:rsid w:val="00F428F5"/>
    <w:rsid w:val="00F436A9"/>
    <w:rsid w:val="00F43731"/>
    <w:rsid w:val="00F43738"/>
    <w:rsid w:val="00F44BF8"/>
    <w:rsid w:val="00F45628"/>
    <w:rsid w:val="00F46351"/>
    <w:rsid w:val="00F464B2"/>
    <w:rsid w:val="00F46692"/>
    <w:rsid w:val="00F5064A"/>
    <w:rsid w:val="00F5084B"/>
    <w:rsid w:val="00F50F05"/>
    <w:rsid w:val="00F51432"/>
    <w:rsid w:val="00F51DA8"/>
    <w:rsid w:val="00F52C06"/>
    <w:rsid w:val="00F55D69"/>
    <w:rsid w:val="00F562EE"/>
    <w:rsid w:val="00F56D51"/>
    <w:rsid w:val="00F56E7A"/>
    <w:rsid w:val="00F56FF6"/>
    <w:rsid w:val="00F57578"/>
    <w:rsid w:val="00F57C9C"/>
    <w:rsid w:val="00F57CC4"/>
    <w:rsid w:val="00F6019D"/>
    <w:rsid w:val="00F6124A"/>
    <w:rsid w:val="00F617BA"/>
    <w:rsid w:val="00F61B78"/>
    <w:rsid w:val="00F62359"/>
    <w:rsid w:val="00F62896"/>
    <w:rsid w:val="00F6338B"/>
    <w:rsid w:val="00F649CB"/>
    <w:rsid w:val="00F649FF"/>
    <w:rsid w:val="00F64B11"/>
    <w:rsid w:val="00F6615C"/>
    <w:rsid w:val="00F66637"/>
    <w:rsid w:val="00F66827"/>
    <w:rsid w:val="00F66CAA"/>
    <w:rsid w:val="00F706B2"/>
    <w:rsid w:val="00F708DB"/>
    <w:rsid w:val="00F708E6"/>
    <w:rsid w:val="00F70B22"/>
    <w:rsid w:val="00F7124E"/>
    <w:rsid w:val="00F72B79"/>
    <w:rsid w:val="00F7370C"/>
    <w:rsid w:val="00F73922"/>
    <w:rsid w:val="00F753C9"/>
    <w:rsid w:val="00F7660A"/>
    <w:rsid w:val="00F76D36"/>
    <w:rsid w:val="00F772A7"/>
    <w:rsid w:val="00F80A84"/>
    <w:rsid w:val="00F80F9A"/>
    <w:rsid w:val="00F819EA"/>
    <w:rsid w:val="00F81A4F"/>
    <w:rsid w:val="00F81EC6"/>
    <w:rsid w:val="00F82223"/>
    <w:rsid w:val="00F84766"/>
    <w:rsid w:val="00F847B3"/>
    <w:rsid w:val="00F84817"/>
    <w:rsid w:val="00F85376"/>
    <w:rsid w:val="00F85C5B"/>
    <w:rsid w:val="00F85CEC"/>
    <w:rsid w:val="00F865B5"/>
    <w:rsid w:val="00F873C4"/>
    <w:rsid w:val="00F873D2"/>
    <w:rsid w:val="00F87653"/>
    <w:rsid w:val="00F903A2"/>
    <w:rsid w:val="00F9046D"/>
    <w:rsid w:val="00F908CE"/>
    <w:rsid w:val="00F90DFB"/>
    <w:rsid w:val="00F90E81"/>
    <w:rsid w:val="00F91234"/>
    <w:rsid w:val="00F91382"/>
    <w:rsid w:val="00F915AB"/>
    <w:rsid w:val="00F915C1"/>
    <w:rsid w:val="00F91948"/>
    <w:rsid w:val="00F91C01"/>
    <w:rsid w:val="00F92804"/>
    <w:rsid w:val="00F939E3"/>
    <w:rsid w:val="00F9409F"/>
    <w:rsid w:val="00F9462F"/>
    <w:rsid w:val="00F946B7"/>
    <w:rsid w:val="00F953C6"/>
    <w:rsid w:val="00F954EB"/>
    <w:rsid w:val="00F956F1"/>
    <w:rsid w:val="00F957FD"/>
    <w:rsid w:val="00F966D5"/>
    <w:rsid w:val="00F96E9A"/>
    <w:rsid w:val="00F97421"/>
    <w:rsid w:val="00F97585"/>
    <w:rsid w:val="00F97981"/>
    <w:rsid w:val="00F97F11"/>
    <w:rsid w:val="00FA08EA"/>
    <w:rsid w:val="00FA0E79"/>
    <w:rsid w:val="00FA1130"/>
    <w:rsid w:val="00FA15BF"/>
    <w:rsid w:val="00FA1961"/>
    <w:rsid w:val="00FA1E6A"/>
    <w:rsid w:val="00FA2034"/>
    <w:rsid w:val="00FA20D4"/>
    <w:rsid w:val="00FA2323"/>
    <w:rsid w:val="00FA248B"/>
    <w:rsid w:val="00FA2C52"/>
    <w:rsid w:val="00FA2F63"/>
    <w:rsid w:val="00FA3691"/>
    <w:rsid w:val="00FA490C"/>
    <w:rsid w:val="00FA631C"/>
    <w:rsid w:val="00FA6422"/>
    <w:rsid w:val="00FA6708"/>
    <w:rsid w:val="00FA6993"/>
    <w:rsid w:val="00FA6B27"/>
    <w:rsid w:val="00FA6CEF"/>
    <w:rsid w:val="00FA6EF1"/>
    <w:rsid w:val="00FA7ACE"/>
    <w:rsid w:val="00FB1076"/>
    <w:rsid w:val="00FB15AD"/>
    <w:rsid w:val="00FB1609"/>
    <w:rsid w:val="00FB18C2"/>
    <w:rsid w:val="00FB1A66"/>
    <w:rsid w:val="00FB2A9E"/>
    <w:rsid w:val="00FB2F1A"/>
    <w:rsid w:val="00FB370E"/>
    <w:rsid w:val="00FB3A65"/>
    <w:rsid w:val="00FB3C96"/>
    <w:rsid w:val="00FB3CC2"/>
    <w:rsid w:val="00FB48E5"/>
    <w:rsid w:val="00FB607D"/>
    <w:rsid w:val="00FC0038"/>
    <w:rsid w:val="00FC0E08"/>
    <w:rsid w:val="00FC1292"/>
    <w:rsid w:val="00FC139C"/>
    <w:rsid w:val="00FC1D06"/>
    <w:rsid w:val="00FC1FC5"/>
    <w:rsid w:val="00FC2752"/>
    <w:rsid w:val="00FC43DC"/>
    <w:rsid w:val="00FC4C45"/>
    <w:rsid w:val="00FC538D"/>
    <w:rsid w:val="00FC61D7"/>
    <w:rsid w:val="00FC634F"/>
    <w:rsid w:val="00FC63BC"/>
    <w:rsid w:val="00FC715A"/>
    <w:rsid w:val="00FC7354"/>
    <w:rsid w:val="00FD02BD"/>
    <w:rsid w:val="00FD089F"/>
    <w:rsid w:val="00FD0D2C"/>
    <w:rsid w:val="00FD151D"/>
    <w:rsid w:val="00FD1714"/>
    <w:rsid w:val="00FD17AC"/>
    <w:rsid w:val="00FD1C9B"/>
    <w:rsid w:val="00FD1E05"/>
    <w:rsid w:val="00FD3195"/>
    <w:rsid w:val="00FD38CB"/>
    <w:rsid w:val="00FD3D33"/>
    <w:rsid w:val="00FD4213"/>
    <w:rsid w:val="00FD4235"/>
    <w:rsid w:val="00FD4412"/>
    <w:rsid w:val="00FD4DA0"/>
    <w:rsid w:val="00FD4E54"/>
    <w:rsid w:val="00FD4F41"/>
    <w:rsid w:val="00FD50D7"/>
    <w:rsid w:val="00FD5486"/>
    <w:rsid w:val="00FD6103"/>
    <w:rsid w:val="00FD673C"/>
    <w:rsid w:val="00FD701C"/>
    <w:rsid w:val="00FD7561"/>
    <w:rsid w:val="00FD7DA5"/>
    <w:rsid w:val="00FE05D8"/>
    <w:rsid w:val="00FE07FF"/>
    <w:rsid w:val="00FE2C84"/>
    <w:rsid w:val="00FE3095"/>
    <w:rsid w:val="00FE3102"/>
    <w:rsid w:val="00FE35CA"/>
    <w:rsid w:val="00FE452C"/>
    <w:rsid w:val="00FE49AC"/>
    <w:rsid w:val="00FE5A9A"/>
    <w:rsid w:val="00FE5AB2"/>
    <w:rsid w:val="00FE5B2C"/>
    <w:rsid w:val="00FE5FAA"/>
    <w:rsid w:val="00FE61CD"/>
    <w:rsid w:val="00FE6A59"/>
    <w:rsid w:val="00FE6B71"/>
    <w:rsid w:val="00FE6DD6"/>
    <w:rsid w:val="00FE7E1F"/>
    <w:rsid w:val="00FF0755"/>
    <w:rsid w:val="00FF116F"/>
    <w:rsid w:val="00FF1A61"/>
    <w:rsid w:val="00FF1E5A"/>
    <w:rsid w:val="00FF232A"/>
    <w:rsid w:val="00FF2FF9"/>
    <w:rsid w:val="00FF3180"/>
    <w:rsid w:val="00FF33FB"/>
    <w:rsid w:val="00FF3D94"/>
    <w:rsid w:val="00FF3EF2"/>
    <w:rsid w:val="00FF465D"/>
    <w:rsid w:val="00FF481F"/>
    <w:rsid w:val="00FF6DDD"/>
    <w:rsid w:val="097052B8"/>
    <w:rsid w:val="495355A0"/>
    <w:rsid w:val="675D41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18"/>
      <w:szCs w:val="30"/>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qFormat/>
    <w:uiPriority w:val="0"/>
    <w:rPr>
      <w:rFonts w:ascii="Times New Roman" w:hAnsi="Times New Roman"/>
      <w:sz w:val="30"/>
      <w:szCs w:val="24"/>
    </w:rPr>
  </w:style>
  <w:style w:type="paragraph" w:styleId="4">
    <w:name w:val="Body Text Indent"/>
    <w:basedOn w:val="1"/>
    <w:uiPriority w:val="0"/>
    <w:pPr>
      <w:spacing w:after="120"/>
      <w:ind w:left="420" w:leftChars="200"/>
    </w:pPr>
  </w:style>
  <w:style w:type="paragraph" w:styleId="5">
    <w:name w:val="Date"/>
    <w:basedOn w:val="1"/>
    <w:next w:val="1"/>
    <w:uiPriority w:val="0"/>
    <w:pPr>
      <w:ind w:left="100" w:leftChars="2500"/>
    </w:pPr>
    <w:rPr>
      <w:rFonts w:ascii="Times New Roman" w:hAnsi="Times New Roman"/>
      <w:sz w:val="21"/>
      <w:szCs w:val="24"/>
    </w:rPr>
  </w:style>
  <w:style w:type="paragraph" w:styleId="6">
    <w:name w:val="Balloon Text"/>
    <w:basedOn w:val="1"/>
    <w:semiHidden/>
    <w:uiPriority w:val="0"/>
    <w:rPr>
      <w:szCs w:val="18"/>
    </w:rPr>
  </w:style>
  <w:style w:type="paragraph" w:styleId="7">
    <w:name w:val="footer"/>
    <w:basedOn w:val="1"/>
    <w:link w:val="32"/>
    <w:uiPriority w:val="99"/>
    <w:pPr>
      <w:tabs>
        <w:tab w:val="center" w:pos="4153"/>
        <w:tab w:val="right" w:pos="8306"/>
      </w:tabs>
      <w:snapToGrid w:val="0"/>
      <w:jc w:val="left"/>
    </w:pPr>
    <w:rPr>
      <w:szCs w:val="18"/>
    </w:rPr>
  </w:style>
  <w:style w:type="paragraph" w:styleId="8">
    <w:name w:val="header"/>
    <w:basedOn w:val="1"/>
    <w:uiPriority w:val="0"/>
    <w:pPr>
      <w:pBdr>
        <w:bottom w:val="single" w:color="auto" w:sz="6" w:space="1"/>
      </w:pBdr>
      <w:tabs>
        <w:tab w:val="center" w:pos="4153"/>
        <w:tab w:val="right" w:pos="8306"/>
      </w:tabs>
      <w:snapToGrid w:val="0"/>
      <w:jc w:val="center"/>
    </w:pPr>
    <w:rPr>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sz w:val="24"/>
      <w:szCs w:val="24"/>
    </w:rPr>
  </w:style>
  <w:style w:type="paragraph" w:styleId="10">
    <w:name w:val="Normal (Web)"/>
    <w:basedOn w:val="1"/>
    <w:semiHidden/>
    <w:qFormat/>
    <w:uiPriority w:val="0"/>
    <w:pPr>
      <w:widowControl/>
      <w:spacing w:before="100" w:beforeAutospacing="1" w:after="100" w:afterAutospacing="1"/>
      <w:jc w:val="left"/>
    </w:pPr>
    <w:rPr>
      <w:rFonts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uiPriority w:val="0"/>
  </w:style>
  <w:style w:type="character" w:styleId="15">
    <w:name w:val="Hyperlink"/>
    <w:basedOn w:val="13"/>
    <w:uiPriority w:val="0"/>
    <w:rPr>
      <w:color w:val="0000FF"/>
      <w:u w:val="single"/>
    </w:rPr>
  </w:style>
  <w:style w:type="character" w:customStyle="1" w:styleId="16">
    <w:name w:val="font51"/>
    <w:basedOn w:val="13"/>
    <w:uiPriority w:val="0"/>
    <w:rPr>
      <w:rFonts w:hint="eastAsia" w:ascii="宋体" w:hAnsi="宋体" w:eastAsia="宋体"/>
      <w:color w:val="000000"/>
      <w:sz w:val="24"/>
      <w:szCs w:val="24"/>
      <w:u w:val="none"/>
    </w:rPr>
  </w:style>
  <w:style w:type="character" w:customStyle="1" w:styleId="17">
    <w:name w:val="font11"/>
    <w:basedOn w:val="13"/>
    <w:uiPriority w:val="0"/>
    <w:rPr>
      <w:rFonts w:hint="eastAsia" w:ascii="宋体" w:hAnsi="宋体" w:eastAsia="宋体"/>
      <w:color w:val="FF0000"/>
      <w:sz w:val="24"/>
      <w:szCs w:val="24"/>
      <w:u w:val="none"/>
    </w:rPr>
  </w:style>
  <w:style w:type="character" w:customStyle="1" w:styleId="18">
    <w:name w:val="15"/>
    <w:basedOn w:val="13"/>
    <w:uiPriority w:val="0"/>
    <w:rPr>
      <w:rFonts w:hint="default" w:ascii="Times New Roman" w:hAnsi="Times New Roman" w:cs="Times New Roman"/>
      <w:color w:val="0000FF"/>
      <w:u w:val="single"/>
    </w:rPr>
  </w:style>
  <w:style w:type="character" w:customStyle="1" w:styleId="19">
    <w:name w:val="font41"/>
    <w:basedOn w:val="13"/>
    <w:uiPriority w:val="0"/>
    <w:rPr>
      <w:rFonts w:hint="eastAsia" w:ascii="宋体" w:hAnsi="宋体" w:eastAsia="宋体"/>
      <w:color w:val="000000"/>
      <w:sz w:val="24"/>
      <w:szCs w:val="24"/>
      <w:u w:val="none"/>
    </w:rPr>
  </w:style>
  <w:style w:type="paragraph" w:customStyle="1" w:styleId="20">
    <w:name w:val="Char"/>
    <w:basedOn w:val="1"/>
    <w:uiPriority w:val="0"/>
    <w:rPr>
      <w:rFonts w:ascii="Tahoma" w:hAnsi="Tahoma"/>
      <w:sz w:val="24"/>
      <w:szCs w:val="20"/>
    </w:rPr>
  </w:style>
  <w:style w:type="paragraph" w:customStyle="1" w:styleId="21">
    <w:name w:val="列出段落1"/>
    <w:basedOn w:val="1"/>
    <w:qFormat/>
    <w:uiPriority w:val="0"/>
    <w:pPr>
      <w:ind w:firstLine="420" w:firstLineChars="200"/>
    </w:pPr>
    <w:rPr>
      <w:rFonts w:ascii="Calibri" w:hAnsi="Calibri"/>
      <w:sz w:val="21"/>
      <w:szCs w:val="22"/>
    </w:rPr>
  </w:style>
  <w:style w:type="paragraph" w:customStyle="1" w:styleId="22">
    <w:name w:val="p0"/>
    <w:basedOn w:val="1"/>
    <w:qFormat/>
    <w:uiPriority w:val="0"/>
    <w:pPr>
      <w:widowControl/>
    </w:pPr>
    <w:rPr>
      <w:rFonts w:ascii="Calibri" w:hAnsi="Calibri" w:cs="宋体"/>
      <w:kern w:val="0"/>
      <w:sz w:val="21"/>
      <w:szCs w:val="21"/>
    </w:rPr>
  </w:style>
  <w:style w:type="paragraph" w:customStyle="1" w:styleId="23">
    <w:name w:val="Char Char Char Char Char Char"/>
    <w:basedOn w:val="2"/>
    <w:uiPriority w:val="0"/>
    <w:rPr>
      <w:rFonts w:ascii="Tahoma" w:hAnsi="Tahoma"/>
      <w:sz w:val="24"/>
      <w:szCs w:val="24"/>
    </w:rPr>
  </w:style>
  <w:style w:type="paragraph" w:customStyle="1" w:styleId="24">
    <w:name w:val="附件栏"/>
    <w:basedOn w:val="1"/>
    <w:uiPriority w:val="0"/>
    <w:pPr>
      <w:autoSpaceDE w:val="0"/>
      <w:autoSpaceDN w:val="0"/>
      <w:snapToGrid w:val="0"/>
      <w:spacing w:line="590" w:lineRule="atLeast"/>
      <w:ind w:firstLine="624"/>
    </w:pPr>
    <w:rPr>
      <w:rFonts w:ascii="Times New Roman" w:hAnsi="Times New Roman" w:eastAsia="仿宋"/>
      <w:snapToGrid w:val="0"/>
      <w:kern w:val="0"/>
      <w:sz w:val="32"/>
      <w:szCs w:val="20"/>
    </w:rPr>
  </w:style>
  <w:style w:type="paragraph" w:customStyle="1" w:styleId="25">
    <w:name w:val="Char Char Char Char Char Char Char Char Char Char Char Char Char Char Char Char Char Char Char Char Char Char"/>
    <w:basedOn w:val="1"/>
    <w:qFormat/>
    <w:uiPriority w:val="0"/>
    <w:rPr>
      <w:rFonts w:ascii="Times New Roman" w:hAnsi="Times New Roman"/>
      <w:sz w:val="21"/>
      <w:szCs w:val="24"/>
    </w:rPr>
  </w:style>
  <w:style w:type="paragraph" w:customStyle="1" w:styleId="26">
    <w:name w:val="Char Char Char Char Char Char1"/>
    <w:basedOn w:val="2"/>
    <w:qFormat/>
    <w:uiPriority w:val="0"/>
    <w:rPr>
      <w:rFonts w:ascii="Tahoma" w:hAnsi="Tahoma"/>
      <w:sz w:val="24"/>
      <w:szCs w:val="24"/>
    </w:rPr>
  </w:style>
  <w:style w:type="paragraph" w:customStyle="1" w:styleId="27">
    <w:name w:val="Char Char Char"/>
    <w:basedOn w:val="1"/>
    <w:uiPriority w:val="0"/>
    <w:rPr>
      <w:rFonts w:ascii="Tahoma" w:hAnsi="Tahoma" w:cs="宋体"/>
      <w:sz w:val="24"/>
      <w:szCs w:val="24"/>
    </w:rPr>
  </w:style>
  <w:style w:type="paragraph" w:customStyle="1" w:styleId="28">
    <w:name w:val="列出段落11"/>
    <w:basedOn w:val="1"/>
    <w:qFormat/>
    <w:uiPriority w:val="0"/>
    <w:pPr>
      <w:ind w:firstLine="420" w:firstLineChars="200"/>
    </w:pPr>
    <w:rPr>
      <w:rFonts w:ascii="Calibri" w:hAnsi="Calibri" w:cs="Calibri"/>
      <w:sz w:val="21"/>
      <w:szCs w:val="21"/>
    </w:rPr>
  </w:style>
  <w:style w:type="paragraph" w:customStyle="1" w:styleId="29">
    <w:name w:val="款下正文"/>
    <w:basedOn w:val="1"/>
    <w:qFormat/>
    <w:uiPriority w:val="0"/>
    <w:pPr>
      <w:spacing w:beforeLines="50" w:afterLines="50" w:line="480" w:lineRule="exact"/>
      <w:ind w:firstLine="480" w:firstLineChars="200"/>
    </w:pPr>
    <w:rPr>
      <w:rFonts w:ascii="Calibri" w:hAnsi="Calibri" w:cs="宋体"/>
      <w:kern w:val="0"/>
      <w:sz w:val="24"/>
      <w:szCs w:val="24"/>
    </w:rPr>
  </w:style>
  <w:style w:type="paragraph" w:customStyle="1" w:styleId="30">
    <w:name w:val="Char Char Char Char"/>
    <w:basedOn w:val="1"/>
    <w:uiPriority w:val="0"/>
    <w:rPr>
      <w:rFonts w:ascii="Times New Roman" w:hAnsi="Times New Roman"/>
      <w:sz w:val="21"/>
      <w:szCs w:val="24"/>
    </w:rPr>
  </w:style>
  <w:style w:type="paragraph" w:customStyle="1" w:styleId="31">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2">
    <w:name w:val="页脚 Char"/>
    <w:basedOn w:val="13"/>
    <w:link w:val="7"/>
    <w:qFormat/>
    <w:uiPriority w:val="99"/>
    <w:rPr>
      <w:rFonts w:ascii="宋体" w:hAnsi="宋体"/>
      <w:kern w:val="2"/>
      <w:sz w:val="18"/>
      <w:szCs w:val="18"/>
    </w:rPr>
  </w:style>
  <w:style w:type="paragraph" w:styleId="3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34">
    <w:name w:val="Quote"/>
    <w:basedOn w:val="1"/>
    <w:next w:val="1"/>
    <w:link w:val="35"/>
    <w:qFormat/>
    <w:uiPriority w:val="29"/>
    <w:rPr>
      <w:i/>
      <w:iCs/>
      <w:color w:val="000000" w:themeColor="text1"/>
    </w:rPr>
  </w:style>
  <w:style w:type="character" w:customStyle="1" w:styleId="35">
    <w:name w:val="引用 Char"/>
    <w:basedOn w:val="13"/>
    <w:link w:val="34"/>
    <w:qFormat/>
    <w:uiPriority w:val="29"/>
    <w:rPr>
      <w:rFonts w:ascii="宋体" w:hAnsi="宋体"/>
      <w:i/>
      <w:iCs/>
      <w:color w:val="000000" w:themeColor="text1"/>
      <w:kern w:val="2"/>
      <w:sz w:val="18"/>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7BE110-E6E7-4EC6-BD19-4A94A94C73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1320</Words>
  <Characters>7530</Characters>
  <Lines>62</Lines>
  <Paragraphs>17</Paragraphs>
  <TotalTime>1022</TotalTime>
  <ScaleCrop>false</ScaleCrop>
  <LinksUpToDate>false</LinksUpToDate>
  <CharactersWithSpaces>8833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2019-10-14T00:57:00Z</dcterms:created>
  <dc:creator>kl</dc:creator>
  <cp:lastModifiedBy>梅花路三弄</cp:lastModifiedBy>
  <cp:lastPrinted>2019-01-15T01:10:00Z</cp:lastPrinted>
  <dcterms:modified xsi:type="dcterms:W3CDTF">2020-12-08T08:18:40Z</dcterms:modified>
  <dc:title>沪交运〔2014〕510号</dc:title>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