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2" w:beforeLines="100"/>
        <w:jc w:val="center"/>
        <w:rPr>
          <w:rFonts w:hint="eastAsia" w:ascii="宋体" w:hAnsi="宋体"/>
          <w:b/>
          <w:sz w:val="36"/>
          <w:szCs w:val="36"/>
        </w:rPr>
      </w:pPr>
      <w:r>
        <w:rPr>
          <w:rFonts w:hint="eastAsia" w:ascii="宋体" w:hAnsi="宋体"/>
          <w:b/>
          <w:sz w:val="36"/>
          <w:szCs w:val="36"/>
        </w:rPr>
        <w:t>上海市轨道交通运营服务乘客满意度测评报告</w:t>
      </w:r>
    </w:p>
    <w:p>
      <w:pPr>
        <w:spacing w:after="312" w:afterLines="100"/>
        <w:jc w:val="center"/>
        <w:rPr>
          <w:rFonts w:hint="eastAsia" w:ascii="宋体" w:hAnsi="宋体"/>
          <w:b/>
          <w:sz w:val="36"/>
          <w:szCs w:val="36"/>
        </w:rPr>
      </w:pPr>
      <w:r>
        <w:rPr>
          <w:rFonts w:hint="eastAsia" w:ascii="宋体" w:hAnsi="宋体"/>
          <w:b/>
          <w:sz w:val="36"/>
          <w:szCs w:val="36"/>
        </w:rPr>
        <w:t>（20</w:t>
      </w:r>
      <w:r>
        <w:rPr>
          <w:rFonts w:ascii="宋体" w:hAnsi="宋体"/>
          <w:b/>
          <w:sz w:val="36"/>
          <w:szCs w:val="36"/>
        </w:rPr>
        <w:t>2</w:t>
      </w:r>
      <w:r>
        <w:rPr>
          <w:rFonts w:hint="eastAsia" w:ascii="宋体" w:hAnsi="宋体"/>
          <w:b/>
          <w:sz w:val="36"/>
          <w:szCs w:val="36"/>
        </w:rPr>
        <w:t>5年第四季度）</w:t>
      </w:r>
    </w:p>
    <w:p>
      <w:pPr>
        <w:pStyle w:val="2"/>
        <w:rPr>
          <w:rFonts w:hint="eastAsia"/>
        </w:rPr>
      </w:pPr>
      <w:r>
        <w:rPr>
          <w:rFonts w:hint="eastAsia"/>
        </w:rPr>
        <w:t>一、测评概况</w:t>
      </w:r>
    </w:p>
    <w:p>
      <w:pPr>
        <w:pStyle w:val="30"/>
        <w:spacing w:line="360" w:lineRule="auto"/>
        <w:ind w:firstLine="484" w:firstLineChars="202"/>
        <w:rPr>
          <w:rFonts w:hint="eastAsia" w:ascii="微软雅黑" w:hAnsi="微软雅黑" w:eastAsia="微软雅黑"/>
          <w:bCs/>
          <w:sz w:val="24"/>
        </w:rPr>
      </w:pPr>
      <w:r>
        <w:rPr>
          <w:rFonts w:hint="eastAsia" w:ascii="微软雅黑" w:hAnsi="微软雅黑" w:eastAsia="微软雅黑"/>
          <w:bCs/>
          <w:sz w:val="24"/>
        </w:rPr>
        <w:t>20</w:t>
      </w:r>
      <w:r>
        <w:rPr>
          <w:rFonts w:ascii="微软雅黑" w:hAnsi="微软雅黑" w:eastAsia="微软雅黑"/>
          <w:bCs/>
          <w:sz w:val="24"/>
        </w:rPr>
        <w:t>2</w:t>
      </w:r>
      <w:r>
        <w:rPr>
          <w:rFonts w:hint="eastAsia" w:ascii="微软雅黑" w:hAnsi="微软雅黑" w:eastAsia="微软雅黑"/>
          <w:bCs/>
          <w:sz w:val="24"/>
        </w:rPr>
        <w:t>5年上海市轨道交通运营服务乘客满意度测评根据上海市城市交通行业管理部门客观评价各运营公司服务情况的要求，在综合考虑各公司客运量、服务条件基础上展开。测评内容涉及</w:t>
      </w:r>
      <w:r>
        <w:rPr>
          <w:rFonts w:hint="eastAsia" w:ascii="微软雅黑" w:hAnsi="微软雅黑" w:eastAsia="微软雅黑"/>
          <w:b/>
          <w:bCs/>
          <w:sz w:val="24"/>
          <w:u w:val="single"/>
        </w:rPr>
        <w:t>运营安全、车况站貌、优质服务、服务便捷以及投诉处理</w:t>
      </w:r>
      <w:r>
        <w:rPr>
          <w:rFonts w:hint="eastAsia" w:ascii="微软雅黑" w:hAnsi="微软雅黑" w:eastAsia="微软雅黑"/>
          <w:bCs/>
          <w:sz w:val="24"/>
        </w:rPr>
        <w:t>五大类指标。</w:t>
      </w:r>
    </w:p>
    <w:p>
      <w:pPr>
        <w:pStyle w:val="30"/>
        <w:spacing w:line="360" w:lineRule="auto"/>
        <w:ind w:firstLine="424" w:firstLineChars="202"/>
        <w:jc w:val="center"/>
        <w:rPr>
          <w:rFonts w:hint="eastAsia" w:ascii="微软雅黑" w:hAnsi="微软雅黑" w:eastAsia="微软雅黑"/>
          <w:bCs/>
          <w:sz w:val="24"/>
        </w:rPr>
      </w:pPr>
      <w:r>
        <w:drawing>
          <wp:inline distT="0" distB="0" distL="114300" distR="114300">
            <wp:extent cx="3917950" cy="2482850"/>
            <wp:effectExtent l="0" t="0" r="0" b="12700"/>
            <wp:docPr id="1" name="图片 73" descr="图片1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73" descr="图片14.png"/>
                    <pic:cNvPicPr>
                      <a:picLocks noChangeAspect="true"/>
                    </pic:cNvPicPr>
                  </pic:nvPicPr>
                  <pic:blipFill>
                    <a:blip r:embed="rId4"/>
                    <a:stretch>
                      <a:fillRect/>
                    </a:stretch>
                  </pic:blipFill>
                  <pic:spPr>
                    <a:xfrm>
                      <a:off x="0" y="0"/>
                      <a:ext cx="3917950" cy="2482850"/>
                    </a:xfrm>
                    <a:prstGeom prst="rect">
                      <a:avLst/>
                    </a:prstGeom>
                    <a:noFill/>
                    <a:ln>
                      <a:noFill/>
                    </a:ln>
                  </pic:spPr>
                </pic:pic>
              </a:graphicData>
            </a:graphic>
          </wp:inline>
        </w:drawing>
      </w:r>
    </w:p>
    <w:p>
      <w:pPr>
        <w:pStyle w:val="30"/>
        <w:spacing w:line="360" w:lineRule="auto"/>
        <w:ind w:firstLine="480"/>
        <w:rPr>
          <w:rFonts w:hint="eastAsia" w:ascii="微软雅黑" w:hAnsi="微软雅黑" w:eastAsia="微软雅黑"/>
          <w:sz w:val="24"/>
        </w:rPr>
      </w:pPr>
      <w:r>
        <w:rPr>
          <w:rFonts w:hint="eastAsia" w:ascii="微软雅黑" w:hAnsi="微软雅黑" w:eastAsia="微软雅黑"/>
          <w:sz w:val="24"/>
        </w:rPr>
        <w:t>2025年第四季度乘客满意度测评样本采集范围分布于全市21条轨道交通线路（含市域机场线），覆盖所有车站，共获取有效样本</w:t>
      </w:r>
      <w:r>
        <w:rPr>
          <w:rFonts w:ascii="微软雅黑" w:hAnsi="微软雅黑" w:eastAsia="微软雅黑"/>
          <w:sz w:val="24"/>
        </w:rPr>
        <w:t>1</w:t>
      </w:r>
      <w:r>
        <w:rPr>
          <w:rFonts w:hint="eastAsia" w:ascii="微软雅黑" w:hAnsi="微软雅黑" w:eastAsia="微软雅黑"/>
          <w:sz w:val="24"/>
        </w:rPr>
        <w:t>806</w:t>
      </w:r>
      <w:r>
        <w:rPr>
          <w:rFonts w:ascii="微软雅黑" w:hAnsi="微软雅黑" w:eastAsia="微软雅黑"/>
          <w:sz w:val="24"/>
        </w:rPr>
        <w:t>8</w:t>
      </w:r>
      <w:r>
        <w:rPr>
          <w:rFonts w:hint="eastAsia" w:ascii="微软雅黑" w:hAnsi="微软雅黑" w:eastAsia="微软雅黑"/>
          <w:sz w:val="24"/>
        </w:rPr>
        <w:t>份。</w:t>
      </w:r>
    </w:p>
    <w:p>
      <w:pPr>
        <w:pStyle w:val="30"/>
        <w:snapToGrid w:val="0"/>
        <w:ind w:firstLine="0" w:firstLineChars="0"/>
        <w:rPr>
          <w:rFonts w:hint="eastAsia" w:ascii="宋体" w:hAnsi="宋体"/>
          <w:b/>
          <w:bCs/>
          <w:kern w:val="44"/>
          <w:sz w:val="28"/>
          <w:szCs w:val="44"/>
        </w:rPr>
      </w:pPr>
    </w:p>
    <w:p>
      <w:pPr>
        <w:pStyle w:val="30"/>
        <w:snapToGrid w:val="0"/>
        <w:ind w:firstLine="0" w:firstLineChars="0"/>
        <w:rPr>
          <w:rFonts w:hint="eastAsia" w:ascii="宋体" w:hAnsi="宋体"/>
          <w:b/>
          <w:bCs/>
          <w:kern w:val="44"/>
          <w:sz w:val="28"/>
          <w:szCs w:val="44"/>
        </w:rPr>
      </w:pPr>
    </w:p>
    <w:p>
      <w:pPr>
        <w:pStyle w:val="30"/>
        <w:snapToGrid w:val="0"/>
        <w:ind w:firstLine="0" w:firstLineChars="0"/>
        <w:rPr>
          <w:rFonts w:hint="eastAsia" w:ascii="宋体" w:hAnsi="宋体"/>
          <w:b/>
          <w:bCs/>
          <w:kern w:val="44"/>
          <w:sz w:val="28"/>
          <w:szCs w:val="44"/>
        </w:rPr>
      </w:pPr>
    </w:p>
    <w:p>
      <w:pPr>
        <w:pStyle w:val="30"/>
        <w:snapToGrid w:val="0"/>
        <w:ind w:firstLine="0" w:firstLineChars="0"/>
        <w:rPr>
          <w:rFonts w:hint="eastAsia" w:ascii="宋体" w:hAnsi="宋体"/>
          <w:b/>
          <w:bCs/>
          <w:kern w:val="44"/>
          <w:sz w:val="28"/>
          <w:szCs w:val="44"/>
        </w:rPr>
      </w:pPr>
    </w:p>
    <w:p>
      <w:pPr>
        <w:pStyle w:val="30"/>
        <w:snapToGrid w:val="0"/>
        <w:ind w:firstLine="0" w:firstLineChars="0"/>
        <w:rPr>
          <w:rFonts w:hint="eastAsia" w:ascii="宋体" w:hAnsi="宋体"/>
          <w:b/>
          <w:bCs/>
          <w:kern w:val="44"/>
          <w:sz w:val="28"/>
          <w:szCs w:val="44"/>
        </w:rPr>
      </w:pPr>
    </w:p>
    <w:p>
      <w:pPr>
        <w:pStyle w:val="30"/>
        <w:snapToGrid w:val="0"/>
        <w:ind w:firstLine="0" w:firstLineChars="0"/>
        <w:rPr>
          <w:rFonts w:hint="eastAsia" w:ascii="宋体" w:hAnsi="宋体"/>
          <w:b/>
          <w:bCs/>
          <w:kern w:val="44"/>
          <w:sz w:val="28"/>
          <w:szCs w:val="44"/>
        </w:rPr>
      </w:pPr>
    </w:p>
    <w:p>
      <w:pPr>
        <w:pStyle w:val="30"/>
        <w:snapToGrid w:val="0"/>
        <w:ind w:firstLine="0" w:firstLineChars="0"/>
        <w:rPr>
          <w:rFonts w:hint="eastAsia" w:ascii="宋体" w:hAnsi="宋体"/>
          <w:b/>
          <w:bCs/>
          <w:kern w:val="44"/>
          <w:sz w:val="28"/>
          <w:szCs w:val="44"/>
        </w:rPr>
      </w:pPr>
    </w:p>
    <w:p>
      <w:pPr>
        <w:pStyle w:val="30"/>
        <w:snapToGrid w:val="0"/>
        <w:ind w:firstLine="0" w:firstLineChars="0"/>
        <w:rPr>
          <w:rFonts w:hint="eastAsia" w:ascii="宋体" w:hAnsi="宋体"/>
          <w:b/>
          <w:bCs/>
          <w:kern w:val="44"/>
          <w:sz w:val="28"/>
          <w:szCs w:val="44"/>
        </w:rPr>
      </w:pPr>
    </w:p>
    <w:p>
      <w:pPr>
        <w:pStyle w:val="2"/>
        <w:spacing w:after="156" w:afterLines="50"/>
        <w:rPr>
          <w:rFonts w:hint="eastAsia"/>
        </w:rPr>
      </w:pPr>
      <w:r>
        <w:rPr>
          <w:rFonts w:hint="eastAsia"/>
        </w:rPr>
        <w:t>二、主要结论</w:t>
      </w:r>
    </w:p>
    <w:p>
      <w:pPr>
        <w:pStyle w:val="8"/>
        <w:snapToGrid w:val="0"/>
        <w:spacing w:after="156" w:afterLines="50" w:line="360" w:lineRule="auto"/>
        <w:ind w:firstLine="484" w:firstLineChars="201"/>
        <w:jc w:val="left"/>
        <w:rPr>
          <w:rFonts w:hint="eastAsia" w:ascii="微软雅黑" w:hAnsi="微软雅黑" w:eastAsia="微软雅黑"/>
          <w:b/>
          <w:sz w:val="24"/>
          <w:szCs w:val="24"/>
        </w:rPr>
      </w:pPr>
      <w:r>
        <w:rPr>
          <w:rFonts w:hint="eastAsia" w:ascii="微软雅黑" w:hAnsi="微软雅黑" w:eastAsia="微软雅黑"/>
          <w:b/>
          <w:sz w:val="24"/>
          <w:szCs w:val="24"/>
        </w:rPr>
        <w:t>1、上海市轨道交通服务质量乘客满意度处于较高水平</w:t>
      </w:r>
    </w:p>
    <w:p>
      <w:pPr>
        <w:snapToGrid w:val="0"/>
        <w:spacing w:after="160" w:line="360" w:lineRule="auto"/>
        <w:ind w:firstLine="480" w:firstLineChars="200"/>
        <w:rPr>
          <w:rFonts w:hint="eastAsia" w:ascii="微软雅黑" w:hAnsi="微软雅黑" w:eastAsia="微软雅黑"/>
          <w:sz w:val="24"/>
          <w:szCs w:val="21"/>
        </w:rPr>
      </w:pPr>
      <w:r>
        <w:rPr>
          <w:rFonts w:hint="eastAsia" w:ascii="微软雅黑" w:hAnsi="微软雅黑" w:eastAsia="微软雅黑"/>
          <w:sz w:val="24"/>
          <w:szCs w:val="21"/>
        </w:rPr>
        <w:t>2025年第四季度，上海市轨道交通运营服务乘客总体满意度为</w:t>
      </w:r>
      <w:r>
        <w:rPr>
          <w:rFonts w:ascii="微软雅黑" w:hAnsi="微软雅黑" w:eastAsia="微软雅黑"/>
          <w:sz w:val="24"/>
          <w:szCs w:val="21"/>
        </w:rPr>
        <w:t>89.</w:t>
      </w:r>
      <w:r>
        <w:rPr>
          <w:rFonts w:hint="eastAsia" w:ascii="微软雅黑" w:hAnsi="微软雅黑" w:eastAsia="微软雅黑"/>
          <w:sz w:val="24"/>
          <w:szCs w:val="21"/>
        </w:rPr>
        <w:t>75。与上季度相比，乘客满意度上升了</w:t>
      </w:r>
      <w:r>
        <w:rPr>
          <w:rFonts w:ascii="微软雅黑" w:hAnsi="微软雅黑" w:eastAsia="微软雅黑"/>
          <w:sz w:val="24"/>
          <w:szCs w:val="21"/>
        </w:rPr>
        <w:t>0.</w:t>
      </w:r>
      <w:r>
        <w:rPr>
          <w:rFonts w:hint="eastAsia" w:ascii="微软雅黑" w:hAnsi="微软雅黑" w:eastAsia="微软雅黑"/>
          <w:sz w:val="24"/>
          <w:szCs w:val="21"/>
        </w:rPr>
        <w:t>22。</w:t>
      </w:r>
    </w:p>
    <w:p>
      <w:pPr>
        <w:snapToGrid w:val="0"/>
        <w:spacing w:after="160" w:line="360" w:lineRule="auto"/>
        <w:ind w:firstLine="480" w:firstLineChars="200"/>
        <w:rPr>
          <w:rFonts w:hint="eastAsia" w:ascii="微软雅黑" w:hAnsi="微软雅黑" w:eastAsia="微软雅黑"/>
          <w:sz w:val="24"/>
          <w:szCs w:val="21"/>
        </w:rPr>
      </w:pPr>
      <w:r>
        <w:rPr>
          <w:rFonts w:hint="eastAsia" w:ascii="微软雅黑" w:hAnsi="微软雅黑" w:eastAsia="微软雅黑"/>
          <w:sz w:val="24"/>
          <w:szCs w:val="21"/>
        </w:rPr>
        <w:t>各线路中，磁浮线、市域机场线和14号线的乘客满意度相对较高，分别为92.22、92.05和91.89；而1号线和3号线的乘客满意度相对较低。</w:t>
      </w:r>
    </w:p>
    <w:p>
      <w:pPr>
        <w:snapToGrid w:val="0"/>
        <w:spacing w:after="160" w:line="360" w:lineRule="auto"/>
        <w:jc w:val="center"/>
        <w:rPr>
          <w:rFonts w:ascii="微软雅黑" w:hAnsi="微软雅黑" w:eastAsia="微软雅黑" w:cs="仿宋_GB2312"/>
          <w:sz w:val="24"/>
          <w:szCs w:val="21"/>
        </w:rPr>
      </w:pPr>
      <w:r>
        <w:rPr>
          <w:rFonts w:ascii="微软雅黑" w:hAnsi="微软雅黑" w:eastAsia="微软雅黑" w:cs="仿宋_GB2312"/>
          <w:sz w:val="24"/>
          <w:szCs w:val="21"/>
        </w:rPr>
        <w:drawing>
          <wp:inline distT="0" distB="0" distL="114300" distR="114300">
            <wp:extent cx="4444365" cy="5577840"/>
            <wp:effectExtent l="0" t="0" r="0"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5"/>
                    <a:stretch>
                      <a:fillRect/>
                    </a:stretch>
                  </pic:blipFill>
                  <pic:spPr>
                    <a:xfrm>
                      <a:off x="0" y="0"/>
                      <a:ext cx="4444365" cy="5577840"/>
                    </a:xfrm>
                    <a:prstGeom prst="rect">
                      <a:avLst/>
                    </a:prstGeom>
                    <a:noFill/>
                    <a:ln>
                      <a:noFill/>
                    </a:ln>
                  </pic:spPr>
                </pic:pic>
              </a:graphicData>
            </a:graphic>
          </wp:inline>
        </w:drawing>
      </w:r>
    </w:p>
    <w:p>
      <w:pPr>
        <w:snapToGrid w:val="0"/>
        <w:spacing w:after="160" w:line="360" w:lineRule="auto"/>
        <w:jc w:val="center"/>
        <w:rPr>
          <w:rFonts w:hint="eastAsia" w:ascii="微软雅黑" w:hAnsi="微软雅黑" w:eastAsia="微软雅黑" w:cs="仿宋_GB2312"/>
          <w:sz w:val="24"/>
          <w:szCs w:val="21"/>
        </w:rPr>
      </w:pPr>
    </w:p>
    <w:p>
      <w:pPr>
        <w:pStyle w:val="12"/>
        <w:shd w:val="clear" w:color="auto" w:fill="FFFFFF"/>
        <w:spacing w:before="180" w:beforeAutospacing="0" w:after="0" w:afterAutospacing="0" w:line="405" w:lineRule="atLeast"/>
        <w:textAlignment w:val="baseline"/>
        <w:rPr>
          <w:rFonts w:hint="eastAsia" w:ascii="微软雅黑" w:hAnsi="微软雅黑" w:cs="Times New Roman"/>
          <w:b/>
          <w:kern w:val="2"/>
        </w:rPr>
      </w:pPr>
      <w:r>
        <w:rPr>
          <w:rFonts w:ascii="微软雅黑" w:hAnsi="微软雅黑" w:cs="Times New Roman"/>
          <w:b/>
          <w:kern w:val="2"/>
        </w:rPr>
        <w:t>2. 优质服务评价高，</w:t>
      </w:r>
      <w:r>
        <w:rPr>
          <w:rFonts w:hint="eastAsia" w:ascii="微软雅黑" w:hAnsi="微软雅黑" w:cs="Times New Roman"/>
          <w:b/>
          <w:kern w:val="2"/>
        </w:rPr>
        <w:t>人员形象举止彰显素质</w:t>
      </w:r>
    </w:p>
    <w:p>
      <w:pPr>
        <w:pStyle w:val="12"/>
        <w:shd w:val="clear" w:color="auto" w:fill="FFFFFF"/>
        <w:spacing w:before="0" w:beforeAutospacing="0" w:after="0" w:afterAutospacing="0" w:line="360" w:lineRule="auto"/>
        <w:ind w:firstLine="480" w:firstLineChars="200"/>
        <w:textAlignment w:val="baseline"/>
        <w:rPr>
          <w:rFonts w:hint="eastAsia" w:ascii="微软雅黑" w:hAnsi="微软雅黑" w:cs="Times New Roman"/>
          <w:kern w:val="2"/>
          <w:szCs w:val="21"/>
        </w:rPr>
      </w:pPr>
      <w:r>
        <w:rPr>
          <w:rFonts w:ascii="微软雅黑" w:hAnsi="微软雅黑" w:cs="Times New Roman"/>
          <w:kern w:val="2"/>
          <w:szCs w:val="21"/>
        </w:rPr>
        <w:t>乘客对</w:t>
      </w:r>
      <w:r>
        <w:rPr>
          <w:rFonts w:hint="eastAsia" w:ascii="微软雅黑" w:hAnsi="微软雅黑" w:cs="Times New Roman"/>
          <w:kern w:val="2"/>
          <w:szCs w:val="21"/>
        </w:rPr>
        <w:t>本市轨交</w:t>
      </w:r>
      <w:r>
        <w:rPr>
          <w:rFonts w:ascii="微软雅黑" w:hAnsi="微软雅黑" w:cs="Times New Roman"/>
          <w:kern w:val="2"/>
          <w:szCs w:val="21"/>
        </w:rPr>
        <w:t>“优质服务”的评价为 90.22分，在五大测评指标中位列第一。其中，“服务人员服饰整洁、仪表大方”评价较高，达 90.40分</w:t>
      </w:r>
      <w:r>
        <w:rPr>
          <w:rFonts w:hint="eastAsia" w:ascii="微软雅黑" w:hAnsi="微软雅黑" w:cs="Times New Roman"/>
          <w:kern w:val="2"/>
          <w:szCs w:val="21"/>
        </w:rPr>
        <w:t>，“服务人员用语、举止文明”评价达90.34</w:t>
      </w:r>
      <w:r>
        <w:rPr>
          <w:rFonts w:ascii="微软雅黑" w:hAnsi="微软雅黑" w:cs="Times New Roman"/>
          <w:kern w:val="2"/>
          <w:szCs w:val="21"/>
        </w:rPr>
        <w:t>，显示</w:t>
      </w:r>
      <w:r>
        <w:rPr>
          <w:rFonts w:hint="eastAsia" w:ascii="微软雅黑" w:hAnsi="微软雅黑" w:cs="Times New Roman"/>
          <w:kern w:val="2"/>
          <w:szCs w:val="21"/>
        </w:rPr>
        <w:t>出</w:t>
      </w:r>
      <w:r>
        <w:rPr>
          <w:rFonts w:ascii="微软雅黑" w:hAnsi="微软雅黑" w:cs="Times New Roman"/>
          <w:kern w:val="2"/>
          <w:szCs w:val="21"/>
        </w:rPr>
        <w:t>员工职业形象和精神面貌得到乘客肯定。</w:t>
      </w:r>
    </w:p>
    <w:p>
      <w:pPr>
        <w:pStyle w:val="12"/>
        <w:shd w:val="clear" w:color="auto" w:fill="FFFFFF"/>
        <w:spacing w:before="0" w:beforeAutospacing="0" w:after="0" w:afterAutospacing="0" w:line="360" w:lineRule="auto"/>
        <w:ind w:firstLine="480" w:firstLineChars="200"/>
        <w:textAlignment w:val="baseline"/>
        <w:rPr>
          <w:rFonts w:hint="eastAsia" w:ascii="微软雅黑" w:hAnsi="微软雅黑"/>
        </w:rPr>
      </w:pPr>
      <w:r>
        <w:rPr>
          <w:rFonts w:ascii="微软雅黑" w:hAnsi="微软雅黑" w:cs="Times New Roman"/>
          <w:kern w:val="2"/>
          <w:szCs w:val="21"/>
        </w:rPr>
        <w:t>整体而言，轨道交通在员工规范服务、仪态仪表方面已形成较好基础，</w:t>
      </w:r>
      <w:r>
        <w:rPr>
          <w:rFonts w:hint="eastAsia" w:ascii="微软雅黑" w:hAnsi="微软雅黑" w:cs="Times New Roman"/>
          <w:kern w:val="2"/>
          <w:szCs w:val="21"/>
        </w:rPr>
        <w:t>希望地铁运营企业不断自我加压，在此基础上，进一步延伸优质服务的内涵和外沿，</w:t>
      </w:r>
      <w:r>
        <w:rPr>
          <w:rFonts w:ascii="微软雅黑" w:hAnsi="微软雅黑"/>
        </w:rPr>
        <w:t>以乘客需求为核心导向，打破标准化服务的边界，让服务更有温度、更具针对性。</w:t>
      </w:r>
      <w:r>
        <w:rPr>
          <w:rFonts w:hint="eastAsia" w:ascii="微软雅黑" w:hAnsi="微软雅黑"/>
        </w:rPr>
        <w:t>同时，</w:t>
      </w:r>
      <w:r>
        <w:rPr>
          <w:rFonts w:ascii="微软雅黑" w:hAnsi="微软雅黑"/>
        </w:rPr>
        <w:t>要积极依托科技赋能，推动服务模式创新，全力打造有温度、高品质、可持续的轨道交通服务品牌</w:t>
      </w:r>
      <w:r>
        <w:rPr>
          <w:rFonts w:hint="eastAsia" w:ascii="微软雅黑" w:hAnsi="微软雅黑"/>
        </w:rPr>
        <w:t>。</w:t>
      </w:r>
    </w:p>
    <w:p>
      <w:pPr>
        <w:pStyle w:val="12"/>
        <w:shd w:val="clear" w:color="auto" w:fill="FFFFFF"/>
        <w:spacing w:before="180" w:beforeAutospacing="0" w:after="0" w:afterAutospacing="0" w:line="405" w:lineRule="atLeast"/>
        <w:textAlignment w:val="baseline"/>
        <w:rPr>
          <w:rFonts w:hint="eastAsia" w:ascii="微软雅黑" w:hAnsi="微软雅黑" w:cs="Times New Roman"/>
          <w:b/>
          <w:kern w:val="2"/>
        </w:rPr>
      </w:pPr>
      <w:r>
        <w:rPr>
          <w:rFonts w:ascii="微软雅黑" w:hAnsi="微软雅黑" w:cs="Times New Roman"/>
          <w:b/>
          <w:kern w:val="2"/>
        </w:rPr>
        <w:t xml:space="preserve">3. </w:t>
      </w:r>
      <w:r>
        <w:rPr>
          <w:rFonts w:hint="eastAsia" w:ascii="微软雅黑" w:hAnsi="微软雅黑" w:cs="Times New Roman"/>
          <w:b/>
          <w:kern w:val="2"/>
        </w:rPr>
        <w:t>车况站貌有提升，服务改进显成效</w:t>
      </w:r>
    </w:p>
    <w:p>
      <w:pPr>
        <w:pStyle w:val="12"/>
        <w:shd w:val="clear" w:color="auto" w:fill="FFFFFF"/>
        <w:spacing w:before="0" w:beforeAutospacing="0" w:after="0" w:afterAutospacing="0" w:line="360" w:lineRule="auto"/>
        <w:ind w:firstLine="480" w:firstLineChars="200"/>
        <w:jc w:val="both"/>
        <w:textAlignment w:val="baseline"/>
        <w:rPr>
          <w:rFonts w:hint="eastAsia" w:ascii="微软雅黑" w:hAnsi="微软雅黑" w:cs="Times New Roman"/>
          <w:kern w:val="2"/>
          <w:szCs w:val="21"/>
        </w:rPr>
      </w:pPr>
      <w:r>
        <w:rPr>
          <w:rFonts w:hint="eastAsia" w:ascii="微软雅黑" w:hAnsi="微软雅黑" w:cs="Times New Roman"/>
          <w:kern w:val="2"/>
          <w:szCs w:val="21"/>
        </w:rPr>
        <w:t>本季度车况站貌方面乘客满意度</w:t>
      </w:r>
      <w:r>
        <w:rPr>
          <w:rFonts w:ascii="微软雅黑" w:hAnsi="微软雅黑" w:cs="Times New Roman"/>
          <w:kern w:val="2"/>
          <w:szCs w:val="21"/>
        </w:rPr>
        <w:t>整体</w:t>
      </w:r>
      <w:r>
        <w:rPr>
          <w:rFonts w:hint="eastAsia" w:ascii="微软雅黑" w:hAnsi="微软雅黑" w:cs="Times New Roman"/>
          <w:kern w:val="2"/>
          <w:szCs w:val="21"/>
        </w:rPr>
        <w:t>有较明显</w:t>
      </w:r>
      <w:r>
        <w:rPr>
          <w:rFonts w:ascii="微软雅黑" w:hAnsi="微软雅黑" w:cs="Times New Roman"/>
          <w:kern w:val="2"/>
          <w:szCs w:val="21"/>
        </w:rPr>
        <w:t>提升</w:t>
      </w:r>
      <w:r>
        <w:rPr>
          <w:rFonts w:hint="eastAsia" w:ascii="微软雅黑" w:hAnsi="微软雅黑" w:cs="Times New Roman"/>
          <w:kern w:val="2"/>
          <w:szCs w:val="21"/>
        </w:rPr>
        <w:t>，尤其</w:t>
      </w:r>
      <w:r>
        <w:rPr>
          <w:rFonts w:ascii="微软雅黑" w:hAnsi="微软雅黑" w:cs="Times New Roman"/>
          <w:kern w:val="2"/>
          <w:szCs w:val="21"/>
        </w:rPr>
        <w:t>列车环境</w:t>
      </w:r>
      <w:r>
        <w:rPr>
          <w:rFonts w:hint="eastAsia" w:ascii="微软雅黑" w:hAnsi="微软雅黑" w:cs="Times New Roman"/>
          <w:kern w:val="2"/>
          <w:szCs w:val="21"/>
        </w:rPr>
        <w:t>和</w:t>
      </w:r>
      <w:r>
        <w:rPr>
          <w:rFonts w:ascii="微软雅黑" w:hAnsi="微软雅黑" w:cs="Times New Roman"/>
          <w:kern w:val="2"/>
          <w:szCs w:val="21"/>
        </w:rPr>
        <w:t>车站环境</w:t>
      </w:r>
      <w:r>
        <w:rPr>
          <w:rFonts w:hint="eastAsia" w:ascii="微软雅黑" w:hAnsi="微软雅黑" w:cs="Times New Roman"/>
          <w:kern w:val="2"/>
          <w:szCs w:val="21"/>
        </w:rPr>
        <w:t>两项分别较上季度上升了0.8和0.98，</w:t>
      </w:r>
      <w:r>
        <w:rPr>
          <w:rFonts w:ascii="微软雅黑" w:hAnsi="微软雅黑" w:cs="Times New Roman"/>
          <w:kern w:val="2"/>
          <w:szCs w:val="21"/>
        </w:rPr>
        <w:t>增长态势良好，成为本季度服务改进的核心亮点。</w:t>
      </w:r>
    </w:p>
    <w:p>
      <w:pPr>
        <w:pStyle w:val="12"/>
        <w:shd w:val="clear" w:color="auto" w:fill="FFFFFF"/>
        <w:spacing w:before="0" w:beforeAutospacing="0" w:after="0" w:afterAutospacing="0" w:line="360" w:lineRule="auto"/>
        <w:ind w:firstLine="480" w:firstLineChars="200"/>
        <w:jc w:val="both"/>
        <w:textAlignment w:val="baseline"/>
        <w:rPr>
          <w:rFonts w:hint="eastAsia" w:ascii="微软雅黑" w:hAnsi="微软雅黑" w:cs="Times New Roman"/>
          <w:kern w:val="2"/>
          <w:szCs w:val="21"/>
        </w:rPr>
      </w:pPr>
      <w:r>
        <w:rPr>
          <w:rFonts w:ascii="微软雅黑" w:hAnsi="微软雅黑" w:cs="Times New Roman"/>
          <w:kern w:val="2"/>
          <w:szCs w:val="21"/>
        </w:rPr>
        <w:t>深入分析可知，列车环境与车况站貌的</w:t>
      </w:r>
      <w:r>
        <w:rPr>
          <w:rFonts w:hint="eastAsia" w:ascii="微软雅黑" w:hAnsi="微软雅黑" w:cs="Times New Roman"/>
          <w:kern w:val="2"/>
          <w:szCs w:val="21"/>
        </w:rPr>
        <w:t>提升</w:t>
      </w:r>
      <w:r>
        <w:rPr>
          <w:rFonts w:ascii="微软雅黑" w:hAnsi="微软雅黑" w:cs="Times New Roman"/>
          <w:kern w:val="2"/>
          <w:szCs w:val="21"/>
        </w:rPr>
        <w:t>为轨道交通服务奠定坚实基础，反映出设备维护、清洁管理等工作</w:t>
      </w:r>
      <w:r>
        <w:rPr>
          <w:rFonts w:hint="eastAsia" w:ascii="微软雅黑" w:hAnsi="微软雅黑" w:cs="Times New Roman"/>
          <w:kern w:val="2"/>
          <w:szCs w:val="21"/>
        </w:rPr>
        <w:t>的重视和改进。</w:t>
      </w:r>
      <w:r>
        <w:rPr>
          <w:rFonts w:ascii="微软雅黑" w:hAnsi="微软雅黑" w:cs="Times New Roman"/>
          <w:kern w:val="2"/>
          <w:szCs w:val="21"/>
        </w:rPr>
        <w:t>总体而言，</w:t>
      </w:r>
      <w:r>
        <w:rPr>
          <w:rFonts w:hint="eastAsia" w:ascii="微软雅黑" w:hAnsi="微软雅黑" w:cs="Times New Roman"/>
          <w:kern w:val="2"/>
          <w:szCs w:val="21"/>
        </w:rPr>
        <w:t>第四</w:t>
      </w:r>
      <w:r>
        <w:rPr>
          <w:rFonts w:ascii="微软雅黑" w:hAnsi="微软雅黑" w:cs="Times New Roman"/>
          <w:kern w:val="2"/>
          <w:szCs w:val="21"/>
        </w:rPr>
        <w:t>季度轨道交通服务质量实现全面优化，服务改进措施成效突出。后续工作中，建议巩固列车环境与车况站貌的优势，复制车站环境改进经验，并建立常态化监测机制，推动服务质量持续向好。</w:t>
      </w:r>
    </w:p>
    <w:p>
      <w:pPr>
        <w:pStyle w:val="12"/>
        <w:shd w:val="clear" w:color="auto" w:fill="FFFFFF"/>
        <w:spacing w:before="180" w:beforeAutospacing="0" w:after="0" w:afterAutospacing="0" w:line="405" w:lineRule="atLeast"/>
        <w:textAlignment w:val="baseline"/>
        <w:rPr>
          <w:rFonts w:hint="eastAsia" w:ascii="微软雅黑" w:hAnsi="微软雅黑" w:cs="Times New Roman"/>
          <w:b/>
          <w:kern w:val="2"/>
        </w:rPr>
      </w:pPr>
      <w:r>
        <w:rPr>
          <w:rFonts w:ascii="微软雅黑" w:hAnsi="微软雅黑" w:cs="Times New Roman"/>
          <w:b/>
          <w:kern w:val="2"/>
        </w:rPr>
        <w:t>4. 关注</w:t>
      </w:r>
      <w:r>
        <w:rPr>
          <w:rFonts w:hint="eastAsia" w:ascii="微软雅黑" w:hAnsi="微软雅黑" w:cs="Times New Roman"/>
          <w:b/>
          <w:kern w:val="2"/>
        </w:rPr>
        <w:t>站内通道畅通性</w:t>
      </w:r>
      <w:r>
        <w:rPr>
          <w:rFonts w:ascii="微软雅黑" w:hAnsi="微软雅黑" w:cs="Times New Roman"/>
          <w:b/>
          <w:kern w:val="2"/>
        </w:rPr>
        <w:t>，</w:t>
      </w:r>
      <w:r>
        <w:rPr>
          <w:rFonts w:hint="eastAsia" w:ascii="微软雅黑" w:hAnsi="微软雅黑" w:cs="Times New Roman"/>
          <w:b/>
          <w:kern w:val="2"/>
        </w:rPr>
        <w:t>提升通行效率</w:t>
      </w:r>
    </w:p>
    <w:p>
      <w:pPr>
        <w:pStyle w:val="12"/>
        <w:shd w:val="clear" w:color="auto" w:fill="FFFFFF"/>
        <w:spacing w:before="0" w:beforeAutospacing="0" w:after="0" w:afterAutospacing="0" w:line="360" w:lineRule="auto"/>
        <w:ind w:firstLine="480" w:firstLineChars="200"/>
        <w:jc w:val="both"/>
        <w:textAlignment w:val="baseline"/>
        <w:rPr>
          <w:rFonts w:hint="eastAsia" w:ascii="微软雅黑" w:hAnsi="微软雅黑" w:cs="Times New Roman"/>
          <w:kern w:val="2"/>
          <w:szCs w:val="21"/>
        </w:rPr>
      </w:pPr>
      <w:r>
        <w:rPr>
          <w:rFonts w:hint="eastAsia" w:ascii="微软雅黑" w:hAnsi="微软雅黑" w:cs="Times New Roman"/>
          <w:kern w:val="2"/>
          <w:szCs w:val="21"/>
        </w:rPr>
        <w:t>第四季度，服务便捷方面乘客满意度虽然处于相对较高的水平，但较上季度有所下降。尤其所有测评指标中，“通道畅通有序，无乱设摊”较上季度下降了0.24，是降幅最大的一项。结合乘客意见建议的梳理分析，</w:t>
      </w:r>
      <w:r>
        <w:rPr>
          <w:rFonts w:ascii="微软雅黑" w:hAnsi="微软雅黑" w:cs="Times New Roman"/>
          <w:kern w:val="2"/>
          <w:szCs w:val="21"/>
        </w:rPr>
        <w:t>通道畅通有序相关满意度的下降，并非单一因素导致</w:t>
      </w:r>
      <w:r>
        <w:rPr>
          <w:rFonts w:hint="eastAsia" w:ascii="微软雅黑" w:hAnsi="微软雅黑" w:cs="Times New Roman"/>
          <w:kern w:val="2"/>
          <w:szCs w:val="21"/>
        </w:rPr>
        <w:t>。从具体意见来看，一是</w:t>
      </w:r>
      <w:r>
        <w:rPr>
          <w:rFonts w:ascii="微软雅黑" w:hAnsi="微软雅黑" w:cs="Times New Roman"/>
          <w:kern w:val="2"/>
          <w:szCs w:val="21"/>
        </w:rPr>
        <w:t>高峰时段站台与通道人流饱和</w:t>
      </w:r>
      <w:r>
        <w:rPr>
          <w:rFonts w:hint="eastAsia" w:ascii="微软雅黑" w:hAnsi="微软雅黑" w:cs="Times New Roman"/>
          <w:kern w:val="2"/>
          <w:szCs w:val="21"/>
        </w:rPr>
        <w:t>问题突出</w:t>
      </w:r>
      <w:r>
        <w:rPr>
          <w:rFonts w:ascii="微软雅黑" w:hAnsi="微软雅黑" w:cs="Times New Roman"/>
          <w:kern w:val="2"/>
          <w:szCs w:val="21"/>
        </w:rPr>
        <w:t>，叠加部分站点通道宽度不足，易形成“进不去、出不来”的滞留现象</w:t>
      </w:r>
      <w:r>
        <w:rPr>
          <w:rFonts w:hint="eastAsia" w:ascii="微软雅黑" w:hAnsi="微软雅黑" w:cs="Times New Roman"/>
          <w:kern w:val="2"/>
          <w:szCs w:val="21"/>
        </w:rPr>
        <w:t>；二是</w:t>
      </w:r>
      <w:r>
        <w:rPr>
          <w:rFonts w:ascii="微软雅黑" w:hAnsi="微软雅黑" w:cs="Times New Roman"/>
          <w:kern w:val="2"/>
          <w:szCs w:val="21"/>
        </w:rPr>
        <w:t>安检通道效率低下</w:t>
      </w:r>
      <w:r>
        <w:rPr>
          <w:rFonts w:hint="eastAsia" w:ascii="微软雅黑" w:hAnsi="微软雅黑" w:cs="Times New Roman"/>
          <w:kern w:val="2"/>
          <w:szCs w:val="21"/>
        </w:rPr>
        <w:t>也是</w:t>
      </w:r>
      <w:r>
        <w:rPr>
          <w:rFonts w:ascii="微软雅黑" w:hAnsi="微软雅黑" w:cs="Times New Roman"/>
          <w:kern w:val="2"/>
          <w:szCs w:val="21"/>
        </w:rPr>
        <w:t>关键堵点，</w:t>
      </w:r>
      <w:r>
        <w:rPr>
          <w:rFonts w:hint="eastAsia" w:ascii="微软雅黑" w:hAnsi="微软雅黑" w:cs="Times New Roman"/>
          <w:kern w:val="2"/>
          <w:szCs w:val="21"/>
        </w:rPr>
        <w:t>乘客反映</w:t>
      </w:r>
      <w:r>
        <w:rPr>
          <w:rFonts w:ascii="微软雅黑" w:hAnsi="微软雅黑" w:cs="Times New Roman"/>
          <w:kern w:val="2"/>
          <w:szCs w:val="21"/>
        </w:rPr>
        <w:t>安检速度慢、开包检查流程繁琐，早晚高峰时段常出现安检排队延伸至通道的情况，直接影响通道通行效率</w:t>
      </w:r>
      <w:r>
        <w:rPr>
          <w:rFonts w:hint="eastAsia" w:ascii="微软雅黑" w:hAnsi="微软雅黑" w:cs="Times New Roman"/>
          <w:kern w:val="2"/>
          <w:szCs w:val="21"/>
        </w:rPr>
        <w:t>；三是</w:t>
      </w:r>
      <w:r>
        <w:rPr>
          <w:rFonts w:ascii="微软雅黑" w:hAnsi="微软雅黑" w:cs="Times New Roman"/>
          <w:kern w:val="2"/>
          <w:szCs w:val="21"/>
        </w:rPr>
        <w:t>换乘通道“远、绕、挤”问题</w:t>
      </w:r>
      <w:r>
        <w:rPr>
          <w:rFonts w:hint="eastAsia" w:ascii="微软雅黑" w:hAnsi="微软雅黑" w:cs="Times New Roman"/>
          <w:kern w:val="2"/>
          <w:szCs w:val="21"/>
        </w:rPr>
        <w:t>，</w:t>
      </w:r>
      <w:r>
        <w:rPr>
          <w:rFonts w:ascii="微软雅黑" w:hAnsi="微软雅黑" w:cs="Times New Roman"/>
          <w:kern w:val="2"/>
          <w:szCs w:val="21"/>
        </w:rPr>
        <w:t>部分站点换乘路径设计不合理，不仅增加乘客步行时间，还易因人流交汇形成拥堵节点；</w:t>
      </w:r>
      <w:r>
        <w:rPr>
          <w:rFonts w:hint="eastAsia" w:ascii="微软雅黑" w:hAnsi="微软雅黑" w:cs="Times New Roman"/>
          <w:kern w:val="2"/>
          <w:szCs w:val="21"/>
        </w:rPr>
        <w:t>四是</w:t>
      </w:r>
      <w:r>
        <w:rPr>
          <w:rFonts w:ascii="微软雅黑" w:hAnsi="微软雅黑" w:cs="Times New Roman"/>
          <w:kern w:val="2"/>
          <w:szCs w:val="21"/>
        </w:rPr>
        <w:t>通道指引与功能配置</w:t>
      </w:r>
      <w:r>
        <w:rPr>
          <w:rFonts w:hint="eastAsia" w:ascii="微软雅黑" w:hAnsi="微软雅黑" w:cs="Times New Roman"/>
          <w:kern w:val="2"/>
          <w:szCs w:val="21"/>
        </w:rPr>
        <w:t>不足，</w:t>
      </w:r>
      <w:r>
        <w:rPr>
          <w:rFonts w:ascii="微软雅黑" w:hAnsi="微软雅黑" w:cs="Times New Roman"/>
          <w:kern w:val="2"/>
          <w:szCs w:val="21"/>
        </w:rPr>
        <w:t>部分通道缺乏清晰的换乘指引、客流疏导标识，也间接导致乘客在通道内停留徘徊，影响通行秩序。</w:t>
      </w:r>
    </w:p>
    <w:p>
      <w:pPr>
        <w:pStyle w:val="12"/>
        <w:shd w:val="clear" w:color="auto" w:fill="FFFFFF"/>
        <w:spacing w:before="0" w:beforeAutospacing="0" w:after="0" w:afterAutospacing="0" w:line="360" w:lineRule="auto"/>
        <w:ind w:firstLine="480" w:firstLineChars="200"/>
        <w:jc w:val="both"/>
        <w:textAlignment w:val="baseline"/>
        <w:rPr>
          <w:rFonts w:hint="eastAsia" w:ascii="微软雅黑" w:hAnsi="微软雅黑" w:cs="仿宋_GB2312"/>
          <w:color w:val="000000"/>
        </w:rPr>
      </w:pPr>
      <w:r>
        <w:rPr>
          <w:rFonts w:hint="eastAsia" w:ascii="微软雅黑" w:hAnsi="微软雅黑" w:cs="Times New Roman"/>
          <w:kern w:val="2"/>
          <w:szCs w:val="21"/>
        </w:rPr>
        <w:t>由此可见，</w:t>
      </w:r>
      <w:r>
        <w:rPr>
          <w:rFonts w:ascii="微软雅黑" w:hAnsi="微软雅黑" w:cs="Times New Roman"/>
          <w:kern w:val="2"/>
          <w:szCs w:val="21"/>
        </w:rPr>
        <w:t>一方面，通道拥堵延长乘客整体通勤时间，打乱出行计划，成为</w:t>
      </w:r>
      <w:r>
        <w:rPr>
          <w:rFonts w:hint="eastAsia" w:ascii="微软雅黑" w:hAnsi="微软雅黑" w:cs="Times New Roman"/>
          <w:kern w:val="2"/>
          <w:szCs w:val="21"/>
        </w:rPr>
        <w:t>通行不畅的</w:t>
      </w:r>
      <w:r>
        <w:rPr>
          <w:rFonts w:ascii="微软雅黑" w:hAnsi="微软雅黑" w:cs="Times New Roman"/>
          <w:kern w:val="2"/>
          <w:szCs w:val="21"/>
        </w:rPr>
        <w:t>重要</w:t>
      </w:r>
      <w:r>
        <w:rPr>
          <w:rFonts w:hint="eastAsia" w:ascii="微软雅黑" w:hAnsi="微软雅黑" w:cs="Times New Roman"/>
          <w:kern w:val="2"/>
          <w:szCs w:val="21"/>
        </w:rPr>
        <w:t>因素</w:t>
      </w:r>
      <w:r>
        <w:rPr>
          <w:rFonts w:ascii="微软雅黑" w:hAnsi="微软雅黑" w:cs="Times New Roman"/>
          <w:kern w:val="2"/>
          <w:szCs w:val="21"/>
        </w:rPr>
        <w:t>；另一方面，人流密集与秩序混乱可能增加乘客碰撞</w:t>
      </w:r>
      <w:r>
        <w:rPr>
          <w:rFonts w:hint="eastAsia" w:ascii="微软雅黑" w:hAnsi="微软雅黑" w:cs="Times New Roman"/>
          <w:kern w:val="2"/>
          <w:szCs w:val="21"/>
          <w:lang w:eastAsia="zh-CN"/>
        </w:rPr>
        <w:t>冲突</w:t>
      </w:r>
      <w:r>
        <w:rPr>
          <w:rFonts w:ascii="微软雅黑" w:hAnsi="微软雅黑" w:cs="Times New Roman"/>
          <w:kern w:val="2"/>
          <w:szCs w:val="21"/>
        </w:rPr>
        <w:t>等安全隐患，同时也易引发乘客焦躁情绪，间接影响对地铁服务的整体评价。</w:t>
      </w:r>
      <w:r>
        <w:rPr>
          <w:rFonts w:hint="eastAsia" w:ascii="微软雅黑" w:hAnsi="微软雅黑" w:cs="Times New Roman"/>
          <w:kern w:val="2"/>
          <w:szCs w:val="21"/>
        </w:rPr>
        <w:t>建议进一步加强客流疏导，</w:t>
      </w:r>
      <w:r>
        <w:rPr>
          <w:rFonts w:hint="eastAsia" w:ascii="微软雅黑" w:hAnsi="微软雅黑" w:cs="Times New Roman"/>
          <w:kern w:val="2"/>
          <w:szCs w:val="21"/>
          <w:lang w:eastAsia="zh-CN"/>
        </w:rPr>
        <w:t>特别是</w:t>
      </w:r>
      <w:bookmarkStart w:id="0" w:name="_GoBack"/>
      <w:bookmarkEnd w:id="0"/>
      <w:r>
        <w:rPr>
          <w:rFonts w:hint="eastAsia" w:ascii="微软雅黑" w:hAnsi="微软雅黑" w:cs="Times New Roman"/>
          <w:kern w:val="2"/>
          <w:szCs w:val="21"/>
        </w:rPr>
        <w:t>高峰时段的通畅性，</w:t>
      </w:r>
      <w:r>
        <w:rPr>
          <w:rFonts w:ascii="微软雅黑" w:hAnsi="微软雅黑" w:cs="Times New Roman"/>
          <w:kern w:val="2"/>
          <w:szCs w:val="21"/>
        </w:rPr>
        <w:t>提升通行的便捷性与有序性</w:t>
      </w:r>
      <w:r>
        <w:rPr>
          <w:rFonts w:hint="eastAsia" w:ascii="微软雅黑" w:hAnsi="微软雅黑" w:cs="Times New Roman"/>
          <w:kern w:val="2"/>
          <w:szCs w:val="21"/>
        </w:rPr>
        <w:t>。</w:t>
      </w:r>
    </w:p>
    <w:p>
      <w:pPr>
        <w:pStyle w:val="8"/>
        <w:snapToGrid w:val="0"/>
        <w:spacing w:after="156" w:afterLines="50" w:line="360" w:lineRule="auto"/>
        <w:ind w:firstLine="482" w:firstLineChars="201"/>
        <w:jc w:val="left"/>
        <w:rPr>
          <w:rFonts w:hint="eastAsia" w:ascii="微软雅黑" w:hAnsi="微软雅黑" w:eastAsia="微软雅黑" w:cs="仿宋_GB2312"/>
          <w:sz w:val="24"/>
          <w:szCs w:val="21"/>
        </w:rPr>
      </w:pPr>
    </w:p>
    <w:sectPr>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swiss"/>
    <w:pitch w:val="default"/>
    <w:sig w:usb0="00000000" w:usb1="00000000" w:usb2="00000016" w:usb3="00000000" w:csb0="0004001F" w:csb1="00000000"/>
  </w:font>
  <w:font w:name="Cambria">
    <w:altName w:val="Noto Sans Syriac Eastern"/>
    <w:panose1 w:val="02040503050406030204"/>
    <w:charset w:val="00"/>
    <w:family w:val="roman"/>
    <w:pitch w:val="default"/>
    <w:sig w:usb0="00000000" w:usb1="00000000" w:usb2="02000000" w:usb3="00000000" w:csb0="0000019F" w:csb1="00000000"/>
  </w:font>
  <w:font w:name="仿宋_GB2312">
    <w:altName w:val="方正仿宋_GBK"/>
    <w:panose1 w:val="00000000000000000000"/>
    <w:charset w:val="86"/>
    <w:family w:val="modern"/>
    <w:pitch w:val="default"/>
    <w:sig w:usb0="00000000" w:usb1="00000000" w:usb2="0000001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NotTrackMoves/>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76"/>
    <w:rsid w:val="0001123B"/>
    <w:rsid w:val="00012C40"/>
    <w:rsid w:val="00015482"/>
    <w:rsid w:val="000271D4"/>
    <w:rsid w:val="000320C3"/>
    <w:rsid w:val="00035B73"/>
    <w:rsid w:val="00036579"/>
    <w:rsid w:val="00037E6F"/>
    <w:rsid w:val="00042644"/>
    <w:rsid w:val="00042801"/>
    <w:rsid w:val="00070420"/>
    <w:rsid w:val="000A32DD"/>
    <w:rsid w:val="000B111E"/>
    <w:rsid w:val="000B3771"/>
    <w:rsid w:val="000B677A"/>
    <w:rsid w:val="000C1A47"/>
    <w:rsid w:val="000D3B18"/>
    <w:rsid w:val="000D4BA1"/>
    <w:rsid w:val="0010329D"/>
    <w:rsid w:val="00104870"/>
    <w:rsid w:val="0011291B"/>
    <w:rsid w:val="00112E5B"/>
    <w:rsid w:val="00125269"/>
    <w:rsid w:val="00125838"/>
    <w:rsid w:val="0013042B"/>
    <w:rsid w:val="00130EF7"/>
    <w:rsid w:val="00136743"/>
    <w:rsid w:val="00141CD7"/>
    <w:rsid w:val="001544A3"/>
    <w:rsid w:val="00162C37"/>
    <w:rsid w:val="00172640"/>
    <w:rsid w:val="00174BBF"/>
    <w:rsid w:val="0017741F"/>
    <w:rsid w:val="00190607"/>
    <w:rsid w:val="00192276"/>
    <w:rsid w:val="00193D00"/>
    <w:rsid w:val="001A3952"/>
    <w:rsid w:val="001B05B1"/>
    <w:rsid w:val="001C47DB"/>
    <w:rsid w:val="001C48A9"/>
    <w:rsid w:val="001D1185"/>
    <w:rsid w:val="001D3694"/>
    <w:rsid w:val="001D3E86"/>
    <w:rsid w:val="001D6717"/>
    <w:rsid w:val="001E5591"/>
    <w:rsid w:val="001E6D4F"/>
    <w:rsid w:val="001E717F"/>
    <w:rsid w:val="001F1C07"/>
    <w:rsid w:val="001F670C"/>
    <w:rsid w:val="002030F3"/>
    <w:rsid w:val="00207B35"/>
    <w:rsid w:val="00213E3B"/>
    <w:rsid w:val="00226938"/>
    <w:rsid w:val="0023123B"/>
    <w:rsid w:val="00232D71"/>
    <w:rsid w:val="00233429"/>
    <w:rsid w:val="0023433D"/>
    <w:rsid w:val="0024777E"/>
    <w:rsid w:val="00252A88"/>
    <w:rsid w:val="00260661"/>
    <w:rsid w:val="002606E9"/>
    <w:rsid w:val="00267C9B"/>
    <w:rsid w:val="0027111D"/>
    <w:rsid w:val="00275335"/>
    <w:rsid w:val="00280642"/>
    <w:rsid w:val="002825A9"/>
    <w:rsid w:val="0028522D"/>
    <w:rsid w:val="00287109"/>
    <w:rsid w:val="00290A30"/>
    <w:rsid w:val="002A3FC9"/>
    <w:rsid w:val="002A561D"/>
    <w:rsid w:val="002A7290"/>
    <w:rsid w:val="002B2560"/>
    <w:rsid w:val="002B37F8"/>
    <w:rsid w:val="002C3FE4"/>
    <w:rsid w:val="002C4567"/>
    <w:rsid w:val="002C4B2B"/>
    <w:rsid w:val="002C7BC1"/>
    <w:rsid w:val="002D4576"/>
    <w:rsid w:val="002E73FD"/>
    <w:rsid w:val="002F352E"/>
    <w:rsid w:val="00300277"/>
    <w:rsid w:val="00303EB9"/>
    <w:rsid w:val="0031179A"/>
    <w:rsid w:val="0032640F"/>
    <w:rsid w:val="00330682"/>
    <w:rsid w:val="003357CB"/>
    <w:rsid w:val="00340307"/>
    <w:rsid w:val="003435AF"/>
    <w:rsid w:val="00347A9F"/>
    <w:rsid w:val="00354AE9"/>
    <w:rsid w:val="00356FA3"/>
    <w:rsid w:val="00360D9E"/>
    <w:rsid w:val="003737C1"/>
    <w:rsid w:val="00374CEE"/>
    <w:rsid w:val="0037508E"/>
    <w:rsid w:val="00381491"/>
    <w:rsid w:val="003A45C5"/>
    <w:rsid w:val="003B2289"/>
    <w:rsid w:val="003B266B"/>
    <w:rsid w:val="003B78B1"/>
    <w:rsid w:val="003C3FC8"/>
    <w:rsid w:val="003C6010"/>
    <w:rsid w:val="003D320C"/>
    <w:rsid w:val="003E4312"/>
    <w:rsid w:val="003E7B40"/>
    <w:rsid w:val="003F2993"/>
    <w:rsid w:val="003F7B31"/>
    <w:rsid w:val="00403503"/>
    <w:rsid w:val="004036E7"/>
    <w:rsid w:val="00412D45"/>
    <w:rsid w:val="00412DBD"/>
    <w:rsid w:val="00414175"/>
    <w:rsid w:val="00447E96"/>
    <w:rsid w:val="0045320A"/>
    <w:rsid w:val="00461D91"/>
    <w:rsid w:val="00463AD7"/>
    <w:rsid w:val="004717A7"/>
    <w:rsid w:val="0047382B"/>
    <w:rsid w:val="0048702E"/>
    <w:rsid w:val="00494B63"/>
    <w:rsid w:val="00495D47"/>
    <w:rsid w:val="00497F97"/>
    <w:rsid w:val="004A20CD"/>
    <w:rsid w:val="004A3C88"/>
    <w:rsid w:val="004B0360"/>
    <w:rsid w:val="004B1F86"/>
    <w:rsid w:val="004D131B"/>
    <w:rsid w:val="004D1FF0"/>
    <w:rsid w:val="004D4EC5"/>
    <w:rsid w:val="004E4C7F"/>
    <w:rsid w:val="004E630F"/>
    <w:rsid w:val="004E73AB"/>
    <w:rsid w:val="0050564A"/>
    <w:rsid w:val="0051114B"/>
    <w:rsid w:val="00520AD8"/>
    <w:rsid w:val="00537334"/>
    <w:rsid w:val="005452A5"/>
    <w:rsid w:val="005512F4"/>
    <w:rsid w:val="005518DB"/>
    <w:rsid w:val="00555F5F"/>
    <w:rsid w:val="005649FF"/>
    <w:rsid w:val="00574526"/>
    <w:rsid w:val="00576153"/>
    <w:rsid w:val="00587A05"/>
    <w:rsid w:val="00597AF5"/>
    <w:rsid w:val="005A0CBA"/>
    <w:rsid w:val="005B292B"/>
    <w:rsid w:val="005C2658"/>
    <w:rsid w:val="005C3090"/>
    <w:rsid w:val="005C657F"/>
    <w:rsid w:val="005F031A"/>
    <w:rsid w:val="00603076"/>
    <w:rsid w:val="006154DB"/>
    <w:rsid w:val="00623430"/>
    <w:rsid w:val="00625409"/>
    <w:rsid w:val="006347A2"/>
    <w:rsid w:val="006359DA"/>
    <w:rsid w:val="00636E1B"/>
    <w:rsid w:val="00640485"/>
    <w:rsid w:val="00641AD2"/>
    <w:rsid w:val="00641FFD"/>
    <w:rsid w:val="0064222E"/>
    <w:rsid w:val="006540D7"/>
    <w:rsid w:val="0066023E"/>
    <w:rsid w:val="006631C8"/>
    <w:rsid w:val="00671965"/>
    <w:rsid w:val="00671E71"/>
    <w:rsid w:val="00680481"/>
    <w:rsid w:val="006835D7"/>
    <w:rsid w:val="006876EF"/>
    <w:rsid w:val="006926B4"/>
    <w:rsid w:val="006960DA"/>
    <w:rsid w:val="006B2D70"/>
    <w:rsid w:val="006B5F47"/>
    <w:rsid w:val="006B72EA"/>
    <w:rsid w:val="006B76BF"/>
    <w:rsid w:val="006D0767"/>
    <w:rsid w:val="006D50C2"/>
    <w:rsid w:val="00700F91"/>
    <w:rsid w:val="00704DDC"/>
    <w:rsid w:val="00722D84"/>
    <w:rsid w:val="00730DEA"/>
    <w:rsid w:val="00733F3E"/>
    <w:rsid w:val="00745732"/>
    <w:rsid w:val="0074653F"/>
    <w:rsid w:val="00750CEB"/>
    <w:rsid w:val="007547B2"/>
    <w:rsid w:val="00760415"/>
    <w:rsid w:val="007774E7"/>
    <w:rsid w:val="00781D36"/>
    <w:rsid w:val="00786751"/>
    <w:rsid w:val="00794B9B"/>
    <w:rsid w:val="007A1038"/>
    <w:rsid w:val="007A6FA2"/>
    <w:rsid w:val="007A7D21"/>
    <w:rsid w:val="007B07B5"/>
    <w:rsid w:val="007B58D6"/>
    <w:rsid w:val="007C4983"/>
    <w:rsid w:val="007D1450"/>
    <w:rsid w:val="007D70C4"/>
    <w:rsid w:val="007D738D"/>
    <w:rsid w:val="007E7AA2"/>
    <w:rsid w:val="00805A16"/>
    <w:rsid w:val="00805A46"/>
    <w:rsid w:val="0081369B"/>
    <w:rsid w:val="00825D4F"/>
    <w:rsid w:val="00826DC7"/>
    <w:rsid w:val="008306BA"/>
    <w:rsid w:val="0083206D"/>
    <w:rsid w:val="008363EA"/>
    <w:rsid w:val="00841CBC"/>
    <w:rsid w:val="00846F30"/>
    <w:rsid w:val="008518DE"/>
    <w:rsid w:val="008530B1"/>
    <w:rsid w:val="0085392A"/>
    <w:rsid w:val="008544FC"/>
    <w:rsid w:val="00856136"/>
    <w:rsid w:val="008566A2"/>
    <w:rsid w:val="00871C08"/>
    <w:rsid w:val="00874977"/>
    <w:rsid w:val="00885618"/>
    <w:rsid w:val="0089203F"/>
    <w:rsid w:val="00893FE4"/>
    <w:rsid w:val="008A1BAB"/>
    <w:rsid w:val="008A2065"/>
    <w:rsid w:val="008B08EA"/>
    <w:rsid w:val="008C1EB0"/>
    <w:rsid w:val="008C7C58"/>
    <w:rsid w:val="008D313B"/>
    <w:rsid w:val="008D49F5"/>
    <w:rsid w:val="008E071C"/>
    <w:rsid w:val="008E7CBB"/>
    <w:rsid w:val="008F3045"/>
    <w:rsid w:val="008F4DCF"/>
    <w:rsid w:val="009000B8"/>
    <w:rsid w:val="00901DC6"/>
    <w:rsid w:val="00931870"/>
    <w:rsid w:val="00936708"/>
    <w:rsid w:val="00944E95"/>
    <w:rsid w:val="00947B74"/>
    <w:rsid w:val="00947E3E"/>
    <w:rsid w:val="009525C9"/>
    <w:rsid w:val="009532DD"/>
    <w:rsid w:val="00960C1B"/>
    <w:rsid w:val="00971BD7"/>
    <w:rsid w:val="0097481A"/>
    <w:rsid w:val="009753AB"/>
    <w:rsid w:val="0098570B"/>
    <w:rsid w:val="00992DD3"/>
    <w:rsid w:val="00996CF1"/>
    <w:rsid w:val="009A44B8"/>
    <w:rsid w:val="009A4DB3"/>
    <w:rsid w:val="009B1963"/>
    <w:rsid w:val="009B3398"/>
    <w:rsid w:val="009B4A0F"/>
    <w:rsid w:val="009C088A"/>
    <w:rsid w:val="009C73E8"/>
    <w:rsid w:val="009D0518"/>
    <w:rsid w:val="009D17EA"/>
    <w:rsid w:val="009D1893"/>
    <w:rsid w:val="009E203B"/>
    <w:rsid w:val="009E3E64"/>
    <w:rsid w:val="009F0B98"/>
    <w:rsid w:val="009F7C01"/>
    <w:rsid w:val="00A04DEA"/>
    <w:rsid w:val="00A13E38"/>
    <w:rsid w:val="00A14240"/>
    <w:rsid w:val="00A319E7"/>
    <w:rsid w:val="00A32BB0"/>
    <w:rsid w:val="00A52D03"/>
    <w:rsid w:val="00A52DC8"/>
    <w:rsid w:val="00A61C77"/>
    <w:rsid w:val="00A6674C"/>
    <w:rsid w:val="00A66C46"/>
    <w:rsid w:val="00A72798"/>
    <w:rsid w:val="00A74C92"/>
    <w:rsid w:val="00A77539"/>
    <w:rsid w:val="00A822C1"/>
    <w:rsid w:val="00A94D28"/>
    <w:rsid w:val="00AA7C7A"/>
    <w:rsid w:val="00AB2946"/>
    <w:rsid w:val="00AB7802"/>
    <w:rsid w:val="00AC4D68"/>
    <w:rsid w:val="00AC5463"/>
    <w:rsid w:val="00AD5DC5"/>
    <w:rsid w:val="00AE002F"/>
    <w:rsid w:val="00AF1500"/>
    <w:rsid w:val="00AF214E"/>
    <w:rsid w:val="00B14A72"/>
    <w:rsid w:val="00B20836"/>
    <w:rsid w:val="00B301AC"/>
    <w:rsid w:val="00B32043"/>
    <w:rsid w:val="00B33E4E"/>
    <w:rsid w:val="00B5355D"/>
    <w:rsid w:val="00B5623A"/>
    <w:rsid w:val="00B564FB"/>
    <w:rsid w:val="00B63548"/>
    <w:rsid w:val="00B83387"/>
    <w:rsid w:val="00B921D6"/>
    <w:rsid w:val="00B931F9"/>
    <w:rsid w:val="00B966F5"/>
    <w:rsid w:val="00BA2B86"/>
    <w:rsid w:val="00BA3897"/>
    <w:rsid w:val="00BA48C5"/>
    <w:rsid w:val="00BB12A0"/>
    <w:rsid w:val="00BB195A"/>
    <w:rsid w:val="00BC1499"/>
    <w:rsid w:val="00BC16A6"/>
    <w:rsid w:val="00BC177A"/>
    <w:rsid w:val="00BC53A6"/>
    <w:rsid w:val="00BD1EB5"/>
    <w:rsid w:val="00BE078C"/>
    <w:rsid w:val="00BE27C6"/>
    <w:rsid w:val="00BF11E5"/>
    <w:rsid w:val="00BF6C3B"/>
    <w:rsid w:val="00C049C8"/>
    <w:rsid w:val="00C051C5"/>
    <w:rsid w:val="00C07FAF"/>
    <w:rsid w:val="00C1026F"/>
    <w:rsid w:val="00C122F9"/>
    <w:rsid w:val="00C13291"/>
    <w:rsid w:val="00C15B89"/>
    <w:rsid w:val="00C15D8D"/>
    <w:rsid w:val="00C20C44"/>
    <w:rsid w:val="00C229F8"/>
    <w:rsid w:val="00C25085"/>
    <w:rsid w:val="00C31D95"/>
    <w:rsid w:val="00C35F8E"/>
    <w:rsid w:val="00C370C2"/>
    <w:rsid w:val="00C40481"/>
    <w:rsid w:val="00C419A6"/>
    <w:rsid w:val="00C47F01"/>
    <w:rsid w:val="00C51402"/>
    <w:rsid w:val="00C633ED"/>
    <w:rsid w:val="00C8271D"/>
    <w:rsid w:val="00C85BF2"/>
    <w:rsid w:val="00C92E76"/>
    <w:rsid w:val="00CA2DB0"/>
    <w:rsid w:val="00CA5521"/>
    <w:rsid w:val="00CB389A"/>
    <w:rsid w:val="00CB46A5"/>
    <w:rsid w:val="00CB5A77"/>
    <w:rsid w:val="00CB5DE5"/>
    <w:rsid w:val="00CD4195"/>
    <w:rsid w:val="00CD5130"/>
    <w:rsid w:val="00CE7AAF"/>
    <w:rsid w:val="00CF21F2"/>
    <w:rsid w:val="00CF4A0B"/>
    <w:rsid w:val="00CF5C24"/>
    <w:rsid w:val="00D0641A"/>
    <w:rsid w:val="00D126C4"/>
    <w:rsid w:val="00D15367"/>
    <w:rsid w:val="00D16C7E"/>
    <w:rsid w:val="00D2094E"/>
    <w:rsid w:val="00D4558A"/>
    <w:rsid w:val="00D479FB"/>
    <w:rsid w:val="00D566CD"/>
    <w:rsid w:val="00D67883"/>
    <w:rsid w:val="00D80FA7"/>
    <w:rsid w:val="00D95739"/>
    <w:rsid w:val="00D97425"/>
    <w:rsid w:val="00DB7DDC"/>
    <w:rsid w:val="00DD2272"/>
    <w:rsid w:val="00DD25B1"/>
    <w:rsid w:val="00DD5224"/>
    <w:rsid w:val="00DE0F15"/>
    <w:rsid w:val="00DF3A29"/>
    <w:rsid w:val="00DF740C"/>
    <w:rsid w:val="00E04F07"/>
    <w:rsid w:val="00E06263"/>
    <w:rsid w:val="00E1663B"/>
    <w:rsid w:val="00E2006C"/>
    <w:rsid w:val="00E20474"/>
    <w:rsid w:val="00E23215"/>
    <w:rsid w:val="00E40388"/>
    <w:rsid w:val="00E526D6"/>
    <w:rsid w:val="00E618E4"/>
    <w:rsid w:val="00E63827"/>
    <w:rsid w:val="00E647CE"/>
    <w:rsid w:val="00E72F74"/>
    <w:rsid w:val="00E733F5"/>
    <w:rsid w:val="00E804F9"/>
    <w:rsid w:val="00E87DCC"/>
    <w:rsid w:val="00E906C9"/>
    <w:rsid w:val="00EA2262"/>
    <w:rsid w:val="00EB3FF1"/>
    <w:rsid w:val="00EB49DA"/>
    <w:rsid w:val="00EB644C"/>
    <w:rsid w:val="00EC6BC4"/>
    <w:rsid w:val="00EC7AE8"/>
    <w:rsid w:val="00ED02E8"/>
    <w:rsid w:val="00EE3DFE"/>
    <w:rsid w:val="00EE4760"/>
    <w:rsid w:val="00EF1BE5"/>
    <w:rsid w:val="00EF7191"/>
    <w:rsid w:val="00F0083B"/>
    <w:rsid w:val="00F119F3"/>
    <w:rsid w:val="00F22EC8"/>
    <w:rsid w:val="00F260E8"/>
    <w:rsid w:val="00F26B4A"/>
    <w:rsid w:val="00F31D1F"/>
    <w:rsid w:val="00F36A46"/>
    <w:rsid w:val="00F37A92"/>
    <w:rsid w:val="00F40471"/>
    <w:rsid w:val="00F57FBC"/>
    <w:rsid w:val="00F72753"/>
    <w:rsid w:val="00F87A9B"/>
    <w:rsid w:val="00F9022D"/>
    <w:rsid w:val="00F93E96"/>
    <w:rsid w:val="00F96F67"/>
    <w:rsid w:val="00FB17B9"/>
    <w:rsid w:val="00FB1EE4"/>
    <w:rsid w:val="00FB1F46"/>
    <w:rsid w:val="00FB5BE1"/>
    <w:rsid w:val="00FD0AEF"/>
    <w:rsid w:val="00FD116A"/>
    <w:rsid w:val="00FD5A5B"/>
    <w:rsid w:val="00FF47A1"/>
    <w:rsid w:val="00FF60CF"/>
    <w:rsid w:val="2FFF6BA3"/>
    <w:rsid w:val="7F856F8E"/>
    <w:rsid w:val="F1FF7F08"/>
    <w:rsid w:val="FFDB3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0"/>
    <w:qFormat/>
    <w:uiPriority w:val="9"/>
    <w:pPr>
      <w:keepNext/>
      <w:keepLines/>
      <w:spacing w:line="360" w:lineRule="auto"/>
      <w:outlineLvl w:val="0"/>
    </w:pPr>
    <w:rPr>
      <w:rFonts w:ascii="微软雅黑" w:hAnsi="微软雅黑" w:eastAsia="微软雅黑"/>
      <w:b/>
      <w:bCs/>
      <w:kern w:val="44"/>
      <w:sz w:val="28"/>
      <w:szCs w:val="44"/>
    </w:rPr>
  </w:style>
  <w:style w:type="paragraph" w:styleId="3">
    <w:name w:val="heading 2"/>
    <w:basedOn w:val="1"/>
    <w:next w:val="1"/>
    <w:link w:val="21"/>
    <w:qFormat/>
    <w:uiPriority w:val="9"/>
    <w:pPr>
      <w:keepNext/>
      <w:keepLines/>
      <w:spacing w:afterLines="50" w:line="360" w:lineRule="auto"/>
      <w:outlineLvl w:val="1"/>
    </w:pPr>
    <w:rPr>
      <w:rFonts w:ascii="Cambria" w:hAnsi="Cambria"/>
      <w:b/>
      <w:bCs/>
      <w:kern w:val="0"/>
      <w:sz w:val="24"/>
      <w:szCs w:val="32"/>
    </w:rPr>
  </w:style>
  <w:style w:type="paragraph" w:styleId="4">
    <w:name w:val="heading 3"/>
    <w:basedOn w:val="1"/>
    <w:next w:val="1"/>
    <w:link w:val="22"/>
    <w:qFormat/>
    <w:uiPriority w:val="0"/>
    <w:pPr>
      <w:keepNext/>
      <w:keepLines/>
      <w:spacing w:before="260" w:after="260" w:line="416" w:lineRule="auto"/>
      <w:outlineLvl w:val="2"/>
    </w:pPr>
    <w:rPr>
      <w:b/>
      <w:bCs/>
      <w:kern w:val="0"/>
      <w:sz w:val="32"/>
      <w:szCs w:val="32"/>
    </w:rPr>
  </w:style>
  <w:style w:type="character" w:default="1" w:styleId="19">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3"/>
    <w:unhideWhenUsed/>
    <w:qFormat/>
    <w:uiPriority w:val="99"/>
    <w:rPr>
      <w:rFonts w:ascii="宋体"/>
      <w:kern w:val="0"/>
      <w:sz w:val="18"/>
      <w:szCs w:val="18"/>
    </w:rPr>
  </w:style>
  <w:style w:type="paragraph" w:styleId="6">
    <w:name w:val="annotation text"/>
    <w:basedOn w:val="1"/>
    <w:link w:val="24"/>
    <w:unhideWhenUsed/>
    <w:qFormat/>
    <w:uiPriority w:val="99"/>
    <w:pPr>
      <w:spacing w:after="160" w:line="259" w:lineRule="auto"/>
      <w:jc w:val="left"/>
    </w:pPr>
    <w:rPr>
      <w:rFonts w:ascii="Times New Roman" w:hAnsi="Times New Roman" w:eastAsia="微软雅黑"/>
      <w:szCs w:val="21"/>
    </w:rPr>
  </w:style>
  <w:style w:type="paragraph" w:styleId="7">
    <w:name w:val="Date"/>
    <w:basedOn w:val="1"/>
    <w:next w:val="1"/>
    <w:link w:val="35"/>
    <w:unhideWhenUsed/>
    <w:qFormat/>
    <w:uiPriority w:val="99"/>
    <w:pPr>
      <w:spacing w:after="160" w:line="259" w:lineRule="auto"/>
      <w:ind w:left="100" w:leftChars="2500"/>
    </w:pPr>
    <w:rPr>
      <w:rFonts w:ascii="Times New Roman" w:hAnsi="Times New Roman" w:eastAsia="微软雅黑"/>
      <w:szCs w:val="21"/>
    </w:rPr>
  </w:style>
  <w:style w:type="paragraph" w:styleId="8">
    <w:name w:val="Body Text Indent 2"/>
    <w:basedOn w:val="1"/>
    <w:link w:val="25"/>
    <w:qFormat/>
    <w:uiPriority w:val="99"/>
    <w:pPr>
      <w:spacing w:line="400" w:lineRule="exact"/>
      <w:ind w:firstLine="556"/>
    </w:pPr>
    <w:rPr>
      <w:rFonts w:ascii="Times New Roman" w:hAnsi="Times New Roman" w:eastAsia="仿宋_GB2312"/>
      <w:kern w:val="0"/>
      <w:sz w:val="28"/>
      <w:szCs w:val="28"/>
    </w:rPr>
  </w:style>
  <w:style w:type="paragraph" w:styleId="9">
    <w:name w:val="Balloon Text"/>
    <w:basedOn w:val="1"/>
    <w:link w:val="26"/>
    <w:unhideWhenUsed/>
    <w:qFormat/>
    <w:uiPriority w:val="99"/>
    <w:rPr>
      <w:kern w:val="0"/>
      <w:sz w:val="18"/>
      <w:szCs w:val="18"/>
    </w:rPr>
  </w:style>
  <w:style w:type="paragraph" w:styleId="10">
    <w:name w:val="footer"/>
    <w:basedOn w:val="1"/>
    <w:link w:val="27"/>
    <w:unhideWhenUsed/>
    <w:qFormat/>
    <w:uiPriority w:val="99"/>
    <w:pPr>
      <w:tabs>
        <w:tab w:val="center" w:pos="4153"/>
        <w:tab w:val="right" w:pos="8306"/>
      </w:tabs>
      <w:snapToGrid w:val="0"/>
      <w:jc w:val="left"/>
    </w:pPr>
    <w:rPr>
      <w:kern w:val="0"/>
      <w:sz w:val="18"/>
      <w:szCs w:val="18"/>
    </w:rPr>
  </w:style>
  <w:style w:type="paragraph" w:styleId="11">
    <w:name w:val="header"/>
    <w:basedOn w:val="1"/>
    <w:link w:val="28"/>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Normal (Web)"/>
    <w:basedOn w:val="1"/>
    <w:qFormat/>
    <w:uiPriority w:val="0"/>
    <w:pPr>
      <w:widowControl/>
      <w:spacing w:before="100" w:beforeAutospacing="1" w:after="100" w:afterAutospacing="1"/>
      <w:jc w:val="left"/>
    </w:pPr>
    <w:rPr>
      <w:rFonts w:ascii="宋体" w:hAnsi="宋体" w:eastAsia="微软雅黑" w:cs="宋体"/>
      <w:kern w:val="0"/>
      <w:sz w:val="24"/>
      <w:szCs w:val="24"/>
    </w:rPr>
  </w:style>
  <w:style w:type="paragraph" w:styleId="13">
    <w:name w:val="Title"/>
    <w:basedOn w:val="1"/>
    <w:next w:val="1"/>
    <w:link w:val="29"/>
    <w:qFormat/>
    <w:uiPriority w:val="10"/>
    <w:pPr>
      <w:spacing w:afterLines="100"/>
      <w:jc w:val="center"/>
      <w:outlineLvl w:val="0"/>
    </w:pPr>
    <w:rPr>
      <w:rFonts w:ascii="宋体" w:hAnsi="宋体"/>
      <w:b/>
      <w:bCs/>
      <w:kern w:val="0"/>
      <w:sz w:val="36"/>
      <w:szCs w:val="36"/>
    </w:rPr>
  </w:style>
  <w:style w:type="table" w:styleId="15">
    <w:name w:val="Light Grid Accent 3"/>
    <w:basedOn w:val="14"/>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Courier New"/>
        <w:b/>
        <w:bCs/>
      </w:rPr>
      <w:tblPr/>
      <w:tcPr>
        <w:tcBorders>
          <w:top w:val="single" w:color="9BBB59" w:sz="8" w:space="0"/>
          <w:left w:val="single" w:color="9BBB59" w:sz="8" w:space="0"/>
          <w:bottom w:val="single" w:color="9BBB59" w:sz="18" w:space="0"/>
          <w:right w:val="single" w:color="9BBB59" w:sz="8" w:space="0"/>
          <w:insideH w:val="nil"/>
          <w:insideV w:val="single" w:sz="8" w:space="0"/>
          <w:tl2br w:val="nil"/>
          <w:tr2bl w:val="nil"/>
        </w:tcBorders>
      </w:tcPr>
    </w:tblStylePr>
    <w:tblStylePr w:type="lastRow">
      <w:pPr>
        <w:spacing w:before="0" w:after="0" w:line="240" w:lineRule="auto"/>
      </w:pPr>
      <w:rPr>
        <w:rFonts w:cs="Courier New"/>
        <w:b/>
        <w:bCs/>
      </w:rPr>
      <w:tblPr/>
      <w:tcPr>
        <w:tcBorders>
          <w:top w:val="double" w:color="9BBB59" w:sz="6" w:space="0"/>
          <w:left w:val="single" w:color="9BBB59" w:sz="8" w:space="0"/>
          <w:bottom w:val="single" w:color="9BBB59" w:sz="8" w:space="0"/>
          <w:right w:val="single" w:color="9BBB59" w:sz="8" w:space="0"/>
          <w:insideH w:val="nil"/>
          <w:insideV w:val="single" w:sz="8" w:space="0"/>
          <w:tl2br w:val="nil"/>
          <w:tr2bl w:val="nil"/>
        </w:tcBorders>
      </w:tcPr>
    </w:tblStylePr>
    <w:tblStylePr w:type="firstCol">
      <w:rPr>
        <w:rFonts w:cs="Courier New"/>
        <w:b/>
        <w:bCs/>
      </w:rPr>
    </w:tblStylePr>
    <w:tblStylePr w:type="lastCol">
      <w:rPr>
        <w:rFonts w:cs="Courier New"/>
        <w:b/>
        <w:bCs/>
      </w:rPr>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tcPr>
    </w:tblStylePr>
  </w:style>
  <w:style w:type="table" w:styleId="16">
    <w:name w:val="Light Grid Accent 5"/>
    <w:basedOn w:val="14"/>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Courier New"/>
        <w:b/>
        <w:bCs/>
      </w:rPr>
      <w:tblPr/>
      <w:tcPr>
        <w:tcBorders>
          <w:top w:val="single" w:color="4BACC6" w:sz="8" w:space="0"/>
          <w:left w:val="single" w:color="4BACC6" w:sz="8" w:space="0"/>
          <w:bottom w:val="single" w:color="4BACC6" w:sz="18" w:space="0"/>
          <w:right w:val="single" w:color="4BACC6" w:sz="8" w:space="0"/>
          <w:insideH w:val="nil"/>
          <w:insideV w:val="single" w:sz="8" w:space="0"/>
          <w:tl2br w:val="nil"/>
          <w:tr2bl w:val="nil"/>
        </w:tcBorders>
      </w:tcPr>
    </w:tblStylePr>
    <w:tblStylePr w:type="lastRow">
      <w:pPr>
        <w:spacing w:before="0" w:after="0" w:line="240" w:lineRule="auto"/>
      </w:pPr>
      <w:rPr>
        <w:rFonts w:cs="Courier New"/>
        <w:b/>
        <w:bCs/>
      </w:rPr>
      <w:tbl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cs="Courier New"/>
        <w:b/>
        <w:bCs/>
      </w:rPr>
    </w:tblStylePr>
    <w:tblStylePr w:type="lastCol">
      <w:rPr>
        <w:rFonts w:cs="Courier New"/>
        <w:b/>
        <w:bCs/>
      </w:rPr>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tbl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styleId="17">
    <w:name w:val="Light Grid Accent 6"/>
    <w:basedOn w:val="14"/>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Courier New"/>
        <w:b/>
        <w:bCs/>
      </w:rPr>
      <w:tblPr/>
      <w:tcPr>
        <w:tcBorders>
          <w:top w:val="single" w:color="F79646" w:sz="8" w:space="0"/>
          <w:left w:val="single" w:color="F79646" w:sz="8" w:space="0"/>
          <w:bottom w:val="single" w:color="F79646" w:sz="18" w:space="0"/>
          <w:right w:val="single" w:color="F79646" w:sz="8" w:space="0"/>
          <w:insideH w:val="nil"/>
          <w:insideV w:val="single" w:sz="8" w:space="0"/>
          <w:tl2br w:val="nil"/>
          <w:tr2bl w:val="nil"/>
        </w:tcBorders>
      </w:tcPr>
    </w:tblStylePr>
    <w:tblStylePr w:type="lastRow">
      <w:pPr>
        <w:spacing w:before="0" w:after="0" w:line="240" w:lineRule="auto"/>
      </w:pPr>
      <w:rPr>
        <w:rFonts w:cs="Courier New"/>
        <w:b/>
        <w:bCs/>
      </w:rPr>
      <w:tblPr/>
      <w:tcPr>
        <w:tcBorders>
          <w:top w:val="double" w:color="F79646" w:sz="6" w:space="0"/>
          <w:left w:val="single" w:color="F79646" w:sz="8" w:space="0"/>
          <w:bottom w:val="single" w:color="F79646" w:sz="8" w:space="0"/>
          <w:right w:val="single" w:color="F79646" w:sz="8" w:space="0"/>
          <w:insideH w:val="nil"/>
          <w:insideV w:val="single" w:sz="8" w:space="0"/>
          <w:tl2br w:val="nil"/>
          <w:tr2bl w:val="nil"/>
        </w:tcBorders>
      </w:tcPr>
    </w:tblStylePr>
    <w:tblStylePr w:type="firstCol">
      <w:rPr>
        <w:rFonts w:cs="Courier New"/>
        <w:b/>
        <w:bCs/>
      </w:rPr>
    </w:tblStylePr>
    <w:tblStylePr w:type="lastCol">
      <w:rPr>
        <w:rFonts w:cs="Courier New"/>
        <w:b/>
        <w:bCs/>
      </w:rPr>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Vert">
      <w:tblPr/>
      <w:tcPr>
        <w:tcBorders>
          <w:top w:val="single" w:color="F79646" w:sz="8" w:space="0"/>
          <w:left w:val="single" w:color="F79646" w:sz="8" w:space="0"/>
          <w:bottom w:val="single" w:color="F79646" w:sz="8" w:space="0"/>
          <w:right w:val="single" w:color="F79646" w:sz="8" w:space="0"/>
          <w:insideH w:val="nil"/>
          <w:insideV w:val="nil"/>
          <w:tl2br w:val="nil"/>
          <w:tr2bl w:val="nil"/>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tcPr>
    </w:tblStylePr>
  </w:style>
  <w:style w:type="table" w:styleId="18">
    <w:name w:val="Medium Grid 3 Accent 3"/>
    <w:basedOn w:val="14"/>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9BBB59"/>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CDDDAC"/>
      </w:tcPr>
    </w:tblStylePr>
  </w:style>
  <w:style w:type="character" w:customStyle="1" w:styleId="20">
    <w:name w:val="标题 1 字符"/>
    <w:link w:val="2"/>
    <w:qFormat/>
    <w:uiPriority w:val="9"/>
    <w:rPr>
      <w:rFonts w:ascii="微软雅黑" w:hAnsi="微软雅黑" w:eastAsia="微软雅黑"/>
      <w:b/>
      <w:bCs/>
      <w:kern w:val="44"/>
      <w:sz w:val="28"/>
      <w:szCs w:val="44"/>
    </w:rPr>
  </w:style>
  <w:style w:type="character" w:customStyle="1" w:styleId="21">
    <w:name w:val="标题 2 字符"/>
    <w:link w:val="3"/>
    <w:qFormat/>
    <w:uiPriority w:val="9"/>
    <w:rPr>
      <w:rFonts w:ascii="Cambria" w:hAnsi="Cambria" w:eastAsia="宋体" w:cs="Times New Roman"/>
      <w:b/>
      <w:bCs/>
      <w:sz w:val="24"/>
      <w:szCs w:val="32"/>
    </w:rPr>
  </w:style>
  <w:style w:type="character" w:customStyle="1" w:styleId="22">
    <w:name w:val="标题 3 字符"/>
    <w:link w:val="4"/>
    <w:qFormat/>
    <w:uiPriority w:val="0"/>
    <w:rPr>
      <w:b/>
      <w:bCs/>
      <w:sz w:val="32"/>
      <w:szCs w:val="32"/>
    </w:rPr>
  </w:style>
  <w:style w:type="character" w:customStyle="1" w:styleId="23">
    <w:name w:val="文档结构图 字符"/>
    <w:link w:val="5"/>
    <w:semiHidden/>
    <w:qFormat/>
    <w:uiPriority w:val="99"/>
    <w:rPr>
      <w:rFonts w:ascii="宋体" w:eastAsia="宋体"/>
      <w:sz w:val="18"/>
      <w:szCs w:val="18"/>
    </w:rPr>
  </w:style>
  <w:style w:type="character" w:customStyle="1" w:styleId="24">
    <w:name w:val="批注文字 字符"/>
    <w:link w:val="6"/>
    <w:qFormat/>
    <w:uiPriority w:val="99"/>
    <w:rPr>
      <w:rFonts w:ascii="Times New Roman" w:hAnsi="Times New Roman" w:eastAsia="微软雅黑"/>
      <w:kern w:val="2"/>
      <w:sz w:val="21"/>
      <w:szCs w:val="21"/>
    </w:rPr>
  </w:style>
  <w:style w:type="character" w:customStyle="1" w:styleId="25">
    <w:name w:val="正文文本缩进 2 字符"/>
    <w:link w:val="8"/>
    <w:qFormat/>
    <w:uiPriority w:val="99"/>
    <w:rPr>
      <w:rFonts w:ascii="Times New Roman" w:hAnsi="Times New Roman" w:eastAsia="仿宋_GB2312" w:cs="Times New Roman"/>
      <w:sz w:val="28"/>
      <w:szCs w:val="28"/>
    </w:rPr>
  </w:style>
  <w:style w:type="character" w:customStyle="1" w:styleId="26">
    <w:name w:val="批注框文本 字符"/>
    <w:link w:val="9"/>
    <w:semiHidden/>
    <w:qFormat/>
    <w:uiPriority w:val="99"/>
    <w:rPr>
      <w:sz w:val="18"/>
      <w:szCs w:val="18"/>
    </w:rPr>
  </w:style>
  <w:style w:type="character" w:customStyle="1" w:styleId="27">
    <w:name w:val="页脚 字符"/>
    <w:link w:val="10"/>
    <w:qFormat/>
    <w:uiPriority w:val="99"/>
    <w:rPr>
      <w:sz w:val="18"/>
      <w:szCs w:val="18"/>
    </w:rPr>
  </w:style>
  <w:style w:type="character" w:customStyle="1" w:styleId="28">
    <w:name w:val="页眉 字符"/>
    <w:link w:val="11"/>
    <w:qFormat/>
    <w:uiPriority w:val="99"/>
    <w:rPr>
      <w:sz w:val="18"/>
      <w:szCs w:val="18"/>
    </w:rPr>
  </w:style>
  <w:style w:type="character" w:customStyle="1" w:styleId="29">
    <w:name w:val="标题 字符"/>
    <w:link w:val="13"/>
    <w:qFormat/>
    <w:uiPriority w:val="10"/>
    <w:rPr>
      <w:rFonts w:ascii="宋体" w:hAnsi="宋体" w:eastAsia="宋体" w:cs="Times New Roman"/>
      <w:b/>
      <w:bCs/>
      <w:sz w:val="36"/>
      <w:szCs w:val="36"/>
    </w:rPr>
  </w:style>
  <w:style w:type="paragraph" w:customStyle="1" w:styleId="30">
    <w:name w:val="列出段落"/>
    <w:basedOn w:val="1"/>
    <w:qFormat/>
    <w:uiPriority w:val="34"/>
    <w:pPr>
      <w:ind w:firstLine="420" w:firstLineChars="200"/>
    </w:pPr>
  </w:style>
  <w:style w:type="table" w:customStyle="1" w:styleId="31">
    <w:name w:val="浅色网格 - 强调文字颜色 11"/>
    <w:basedOn w:val="14"/>
    <w:qFormat/>
    <w:uiPriority w:val="62"/>
    <w:tblPr>
      <w:tblBorders>
        <w:top w:val="single" w:color="7FD13B" w:sz="8" w:space="0"/>
        <w:left w:val="single" w:color="7FD13B" w:sz="8" w:space="0"/>
        <w:bottom w:val="single" w:color="7FD13B" w:sz="8" w:space="0"/>
        <w:right w:val="single" w:color="7FD13B" w:sz="8" w:space="0"/>
        <w:insideH w:val="single" w:color="7FD13B" w:sz="8" w:space="0"/>
        <w:insideV w:val="single" w:color="7FD13B" w:sz="8" w:space="0"/>
      </w:tblBorders>
    </w:tblPr>
    <w:tblStylePr w:type="firstRow">
      <w:pPr>
        <w:spacing w:before="0" w:after="0" w:line="240" w:lineRule="auto"/>
      </w:pPr>
      <w:rPr>
        <w:rFonts w:cs="Courier New"/>
        <w:b/>
        <w:bCs/>
      </w:rPr>
      <w:tcPr>
        <w:tcBorders>
          <w:top w:val="single" w:color="7FD13B" w:sz="8" w:space="0"/>
          <w:left w:val="single" w:color="7FD13B" w:sz="8" w:space="0"/>
          <w:bottom w:val="single" w:color="7FD13B" w:sz="18" w:space="0"/>
          <w:right w:val="single" w:color="7FD13B" w:sz="8" w:space="0"/>
          <w:insideH w:val="nil"/>
          <w:insideV w:val="single" w:sz="8" w:space="0"/>
          <w:tl2br w:val="nil"/>
          <w:tr2bl w:val="nil"/>
        </w:tcBorders>
      </w:tcPr>
    </w:tblStylePr>
    <w:tblStylePr w:type="lastRow">
      <w:pPr>
        <w:spacing w:before="0" w:after="0" w:line="240" w:lineRule="auto"/>
      </w:pPr>
      <w:rPr>
        <w:rFonts w:cs="Courier New"/>
        <w:b/>
        <w:bCs/>
      </w:rPr>
      <w:tcPr>
        <w:tcBorders>
          <w:top w:val="double" w:color="7FD13B" w:sz="6" w:space="0"/>
          <w:left w:val="single" w:color="7FD13B" w:sz="8" w:space="0"/>
          <w:bottom w:val="single" w:color="7FD13B" w:sz="8" w:space="0"/>
          <w:right w:val="single" w:color="7FD13B" w:sz="8" w:space="0"/>
          <w:insideH w:val="nil"/>
          <w:insideV w:val="single" w:sz="8" w:space="0"/>
          <w:tl2br w:val="nil"/>
          <w:tr2bl w:val="nil"/>
        </w:tcBorders>
      </w:tcPr>
    </w:tblStylePr>
    <w:tblStylePr w:type="firstCol">
      <w:rPr>
        <w:rFonts w:cs="Courier New"/>
        <w:b/>
        <w:bCs/>
      </w:rPr>
    </w:tblStylePr>
    <w:tblStylePr w:type="lastCol">
      <w:rPr>
        <w:rFonts w:cs="Courier New"/>
        <w:b/>
        <w:bCs/>
      </w:rPr>
      <w:tcPr>
        <w:tcBorders>
          <w:top w:val="single" w:color="7FD13B" w:sz="8" w:space="0"/>
          <w:left w:val="single" w:color="7FD13B" w:sz="8" w:space="0"/>
          <w:bottom w:val="single" w:color="7FD13B" w:sz="8" w:space="0"/>
          <w:right w:val="single" w:color="7FD13B" w:sz="8" w:space="0"/>
          <w:insideH w:val="nil"/>
          <w:insideV w:val="nil"/>
          <w:tl2br w:val="nil"/>
          <w:tr2bl w:val="nil"/>
        </w:tcBorders>
      </w:tcPr>
    </w:tblStylePr>
    <w:tblStylePr w:type="band1Vert">
      <w:tcPr>
        <w:tcBorders>
          <w:top w:val="single" w:color="7FD13B" w:sz="8" w:space="0"/>
          <w:left w:val="single" w:color="7FD13B" w:sz="8" w:space="0"/>
          <w:bottom w:val="single" w:color="7FD13B" w:sz="8" w:space="0"/>
          <w:right w:val="single" w:color="7FD13B" w:sz="8" w:space="0"/>
          <w:insideH w:val="nil"/>
          <w:insideV w:val="nil"/>
          <w:tl2br w:val="nil"/>
          <w:tr2bl w:val="nil"/>
        </w:tcBorders>
        <w:shd w:val="clear" w:color="auto" w:fill="DFF3CE"/>
      </w:tcPr>
    </w:tblStylePr>
    <w:tblStylePr w:type="band1Horz">
      <w:tcPr>
        <w:tcBorders>
          <w:top w:val="single" w:color="7FD13B" w:sz="8" w:space="0"/>
          <w:left w:val="single" w:color="7FD13B" w:sz="8" w:space="0"/>
          <w:bottom w:val="single" w:color="7FD13B" w:sz="8" w:space="0"/>
          <w:right w:val="single" w:color="7FD13B" w:sz="8" w:space="0"/>
          <w:insideH w:val="nil"/>
          <w:insideV w:val="single" w:sz="8" w:space="0"/>
          <w:tl2br w:val="nil"/>
          <w:tr2bl w:val="nil"/>
        </w:tcBorders>
        <w:shd w:val="clear" w:color="auto" w:fill="DFF3CE"/>
      </w:tcPr>
    </w:tblStylePr>
    <w:tblStylePr w:type="band2Horz">
      <w:tcPr>
        <w:tcBorders>
          <w:top w:val="single" w:color="7FD13B" w:sz="8" w:space="0"/>
          <w:left w:val="single" w:color="7FD13B" w:sz="8" w:space="0"/>
          <w:bottom w:val="single" w:color="7FD13B" w:sz="8" w:space="0"/>
          <w:right w:val="single" w:color="7FD13B" w:sz="8" w:space="0"/>
          <w:insideH w:val="nil"/>
          <w:insideV w:val="single" w:sz="8" w:space="0"/>
          <w:tl2br w:val="nil"/>
          <w:tr2bl w:val="nil"/>
        </w:tcBorders>
      </w:tcPr>
    </w:tblStylePr>
  </w:style>
  <w:style w:type="table" w:customStyle="1" w:styleId="32">
    <w:name w:val="浅色网格 - 强调文字颜色 111"/>
    <w:basedOn w:val="14"/>
    <w:qFormat/>
    <w:uiPriority w:val="62"/>
    <w:tblPr>
      <w:tblBorders>
        <w:top w:val="single" w:color="F07F09" w:sz="8" w:space="0"/>
        <w:left w:val="single" w:color="F07F09" w:sz="8" w:space="0"/>
        <w:bottom w:val="single" w:color="F07F09" w:sz="8" w:space="0"/>
        <w:right w:val="single" w:color="F07F09" w:sz="8" w:space="0"/>
        <w:insideH w:val="single" w:color="F07F09" w:sz="8" w:space="0"/>
        <w:insideV w:val="single" w:color="F07F09" w:sz="8" w:space="0"/>
      </w:tblBorders>
    </w:tblPr>
    <w:tblStylePr w:type="firstRow">
      <w:pPr>
        <w:spacing w:before="0" w:after="0" w:line="240" w:lineRule="auto"/>
      </w:pPr>
      <w:rPr>
        <w:rFonts w:cs="Courier New"/>
        <w:b/>
        <w:bCs/>
      </w:rPr>
      <w:tcPr>
        <w:tcBorders>
          <w:top w:val="single" w:color="F07F09" w:sz="8" w:space="0"/>
          <w:left w:val="single" w:color="F07F09" w:sz="8" w:space="0"/>
          <w:bottom w:val="single" w:color="F07F09" w:sz="18" w:space="0"/>
          <w:right w:val="single" w:color="F07F09" w:sz="8" w:space="0"/>
          <w:insideH w:val="nil"/>
          <w:insideV w:val="single" w:sz="8" w:space="0"/>
          <w:tl2br w:val="nil"/>
          <w:tr2bl w:val="nil"/>
        </w:tcBorders>
      </w:tcPr>
    </w:tblStylePr>
    <w:tblStylePr w:type="lastRow">
      <w:pPr>
        <w:spacing w:before="0" w:after="0" w:line="240" w:lineRule="auto"/>
      </w:pPr>
      <w:rPr>
        <w:rFonts w:cs="Courier New"/>
        <w:b/>
        <w:bCs/>
      </w:rPr>
      <w:tcPr>
        <w:tcBorders>
          <w:top w:val="double" w:color="F07F09" w:sz="6" w:space="0"/>
          <w:left w:val="single" w:color="F07F09" w:sz="8" w:space="0"/>
          <w:bottom w:val="single" w:color="F07F09" w:sz="8" w:space="0"/>
          <w:right w:val="single" w:color="F07F09" w:sz="8" w:space="0"/>
          <w:insideH w:val="nil"/>
          <w:insideV w:val="single" w:sz="8" w:space="0"/>
          <w:tl2br w:val="nil"/>
          <w:tr2bl w:val="nil"/>
        </w:tcBorders>
      </w:tcPr>
    </w:tblStylePr>
    <w:tblStylePr w:type="firstCol">
      <w:rPr>
        <w:rFonts w:cs="Courier New"/>
        <w:b/>
        <w:bCs/>
      </w:rPr>
    </w:tblStylePr>
    <w:tblStylePr w:type="lastCol">
      <w:rPr>
        <w:rFonts w:cs="Courier New"/>
        <w:b/>
        <w:bCs/>
      </w:rPr>
      <w:tcPr>
        <w:tcBorders>
          <w:top w:val="single" w:color="F07F09" w:sz="8" w:space="0"/>
          <w:left w:val="single" w:color="F07F09" w:sz="8" w:space="0"/>
          <w:bottom w:val="single" w:color="F07F09" w:sz="8" w:space="0"/>
          <w:right w:val="single" w:color="F07F09" w:sz="8" w:space="0"/>
          <w:insideH w:val="nil"/>
          <w:insideV w:val="nil"/>
          <w:tl2br w:val="nil"/>
          <w:tr2bl w:val="nil"/>
        </w:tcBorders>
      </w:tcPr>
    </w:tblStylePr>
    <w:tblStylePr w:type="band1Vert">
      <w:tcPr>
        <w:tcBorders>
          <w:top w:val="single" w:color="F07F09" w:sz="8" w:space="0"/>
          <w:left w:val="single" w:color="F07F09" w:sz="8" w:space="0"/>
          <w:bottom w:val="single" w:color="F07F09" w:sz="8" w:space="0"/>
          <w:right w:val="single" w:color="F07F09" w:sz="8" w:space="0"/>
          <w:insideH w:val="nil"/>
          <w:insideV w:val="nil"/>
          <w:tl2br w:val="nil"/>
          <w:tr2bl w:val="nil"/>
        </w:tcBorders>
        <w:shd w:val="clear" w:color="auto" w:fill="FCDFC0"/>
      </w:tcPr>
    </w:tblStylePr>
    <w:tblStylePr w:type="band1Horz">
      <w:tcPr>
        <w:tcBorders>
          <w:top w:val="single" w:color="F07F09" w:sz="8" w:space="0"/>
          <w:left w:val="single" w:color="F07F09" w:sz="8" w:space="0"/>
          <w:bottom w:val="single" w:color="F07F09" w:sz="8" w:space="0"/>
          <w:right w:val="single" w:color="F07F09" w:sz="8" w:space="0"/>
          <w:insideH w:val="nil"/>
          <w:insideV w:val="single" w:sz="8" w:space="0"/>
          <w:tl2br w:val="nil"/>
          <w:tr2bl w:val="nil"/>
        </w:tcBorders>
        <w:shd w:val="clear" w:color="auto" w:fill="FCDFC0"/>
      </w:tcPr>
    </w:tblStylePr>
    <w:tblStylePr w:type="band2Horz">
      <w:tcPr>
        <w:tcBorders>
          <w:top w:val="single" w:color="F07F09" w:sz="8" w:space="0"/>
          <w:left w:val="single" w:color="F07F09" w:sz="8" w:space="0"/>
          <w:bottom w:val="single" w:color="F07F09" w:sz="8" w:space="0"/>
          <w:right w:val="single" w:color="F07F09" w:sz="8" w:space="0"/>
          <w:insideH w:val="nil"/>
          <w:insideV w:val="single" w:sz="8" w:space="0"/>
          <w:tl2br w:val="nil"/>
          <w:tr2bl w:val="nil"/>
        </w:tcBorders>
      </w:tcPr>
    </w:tblStylePr>
  </w:style>
  <w:style w:type="table" w:customStyle="1" w:styleId="33">
    <w:name w:val="中等深浅网格 3 - 强调文字颜色 31"/>
    <w:basedOn w:val="14"/>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B5D9EF"/>
    </w:tcPr>
    <w:tblStylePr w:type="firstRow">
      <w:rPr>
        <w:b/>
        <w:bCs/>
        <w:i w:val="0"/>
        <w:iCs w:val="0"/>
        <w:color w:val="FFFFFF"/>
      </w:r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1B587C"/>
      </w:tcPr>
    </w:tblStylePr>
    <w:tblStylePr w:type="lastRow">
      <w:rPr>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1B587C"/>
      </w:tcPr>
    </w:tblStylePr>
    <w:tblStylePr w:type="firstCol">
      <w:rPr>
        <w:b/>
        <w:bCs/>
        <w:i w:val="0"/>
        <w:iCs w:val="0"/>
        <w:color w:val="FFFFFF"/>
      </w:rPr>
      <w:tcPr>
        <w:tcBorders>
          <w:top w:val="nil"/>
          <w:left w:val="single" w:color="FFFFFF" w:sz="8" w:space="0"/>
          <w:bottom w:val="nil"/>
          <w:right w:val="single" w:color="FFFFFF" w:sz="24" w:space="0"/>
          <w:insideH w:val="nil"/>
          <w:insideV w:val="nil"/>
          <w:tl2br w:val="nil"/>
          <w:tr2bl w:val="nil"/>
        </w:tcBorders>
        <w:shd w:val="clear" w:color="auto" w:fill="1B587C"/>
      </w:tcPr>
    </w:tblStylePr>
    <w:tblStylePr w:type="lastCol">
      <w:rPr>
        <w:b/>
        <w:bCs/>
        <w:i w:val="0"/>
        <w:iCs w:val="0"/>
        <w:color w:val="FFFFFF"/>
      </w:rPr>
      <w:tcPr>
        <w:tcBorders>
          <w:top w:val="nil"/>
          <w:left w:val="single" w:color="FFFFFF" w:sz="24" w:space="0"/>
          <w:bottom w:val="nil"/>
          <w:right w:val="nil"/>
          <w:insideH w:val="nil"/>
          <w:insideV w:val="nil"/>
          <w:tl2br w:val="nil"/>
          <w:tr2bl w:val="nil"/>
        </w:tcBorders>
        <w:shd w:val="clear" w:color="auto" w:fill="1B587C"/>
      </w:tcPr>
    </w:tblStylePr>
    <w:tblStylePr w:type="band1Vert">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6CB4DF"/>
      </w:tcPr>
    </w:tblStylePr>
    <w:tblStylePr w:type="band1Horz">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6CB4DF"/>
      </w:tcPr>
    </w:tblStylePr>
  </w:style>
  <w:style w:type="table" w:customStyle="1" w:styleId="34">
    <w:name w:val="中等深浅网格 3 - 强调文字颜色 32"/>
    <w:basedOn w:val="14"/>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B5D9EF"/>
    </w:tcPr>
    <w:tblStylePr w:type="firstRow">
      <w:rPr>
        <w:b/>
        <w:bCs/>
        <w:i w:val="0"/>
        <w:iCs w:val="0"/>
        <w:color w:val="FFFFFF"/>
      </w:r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1B587C"/>
      </w:tcPr>
    </w:tblStylePr>
    <w:tblStylePr w:type="lastRow">
      <w:rPr>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1B587C"/>
      </w:tcPr>
    </w:tblStylePr>
    <w:tblStylePr w:type="firstCol">
      <w:rPr>
        <w:b/>
        <w:bCs/>
        <w:i w:val="0"/>
        <w:iCs w:val="0"/>
        <w:color w:val="FFFFFF"/>
      </w:rPr>
      <w:tcPr>
        <w:tcBorders>
          <w:top w:val="nil"/>
          <w:left w:val="single" w:color="FFFFFF" w:sz="8" w:space="0"/>
          <w:bottom w:val="nil"/>
          <w:right w:val="single" w:color="FFFFFF" w:sz="24" w:space="0"/>
          <w:insideH w:val="nil"/>
          <w:insideV w:val="nil"/>
          <w:tl2br w:val="nil"/>
          <w:tr2bl w:val="nil"/>
        </w:tcBorders>
        <w:shd w:val="clear" w:color="auto" w:fill="1B587C"/>
      </w:tcPr>
    </w:tblStylePr>
    <w:tblStylePr w:type="lastCol">
      <w:rPr>
        <w:b/>
        <w:bCs/>
        <w:i w:val="0"/>
        <w:iCs w:val="0"/>
        <w:color w:val="FFFFFF"/>
      </w:rPr>
      <w:tcPr>
        <w:tcBorders>
          <w:top w:val="nil"/>
          <w:left w:val="single" w:color="FFFFFF" w:sz="24" w:space="0"/>
          <w:bottom w:val="nil"/>
          <w:right w:val="nil"/>
          <w:insideH w:val="nil"/>
          <w:insideV w:val="nil"/>
          <w:tl2br w:val="nil"/>
          <w:tr2bl w:val="nil"/>
        </w:tcBorders>
        <w:shd w:val="clear" w:color="auto" w:fill="1B587C"/>
      </w:tcPr>
    </w:tblStylePr>
    <w:tblStylePr w:type="band1Vert">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6CB4DF"/>
      </w:tcPr>
    </w:tblStylePr>
    <w:tblStylePr w:type="band1Horz">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6CB4DF"/>
      </w:tcPr>
    </w:tblStylePr>
  </w:style>
  <w:style w:type="character" w:customStyle="1" w:styleId="35">
    <w:name w:val="日期 字符"/>
    <w:link w:val="7"/>
    <w:qFormat/>
    <w:uiPriority w:val="99"/>
    <w:rPr>
      <w:rFonts w:ascii="Times New Roman" w:hAnsi="Times New Roman" w:eastAsia="微软雅黑"/>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lenovo/C:\Users\xph\Desktop\&#21457;&#24067;&#31295;-&#19978;&#28023;&#24066;&#36712;&#36947;&#20132;&#36890;&#36816;&#33829;&#26381;&#21153;&#20056;&#23458;&#28385;&#24847;&#24230;&#27979;&#35780;&#21457;&#24067;&#31295;&#65288;2025&#24180;&#31532;&#19968;&#23395;&#24230;&#652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发布稿-上海市轨道交通运营服务乘客满意度测评发布稿（2025年第一季度）.dotx</Template>
  <Pages>4</Pages>
  <Words>221</Words>
  <Characters>1262</Characters>
  <Lines>10</Lines>
  <Paragraphs>2</Paragraphs>
  <TotalTime>36</TotalTime>
  <ScaleCrop>false</ScaleCrop>
  <LinksUpToDate>false</LinksUpToDate>
  <CharactersWithSpaces>1481</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2025-05-06T12:36:00Z</dcterms:created>
  <dc:creator>xph</dc:creator>
  <cp:lastModifiedBy>lenovo</cp:lastModifiedBy>
  <cp:lastPrinted>2023-11-20T15:36:00Z</cp:lastPrinted>
  <dcterms:modified xsi:type="dcterms:W3CDTF">2026-02-05T13:35:58Z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