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3D07804A">
      <w:pPr>
        <w:pStyle w:val="style0"/>
        <w:spacing w:beforeLines="100"/>
        <w:jc w:val="center"/>
        <w:rPr>
          <w:rFonts w:ascii="宋体" w:hAnsi="宋体"/>
          <w:b/>
          <w:sz w:val="36"/>
          <w:szCs w:val="36"/>
        </w:rPr>
      </w:pPr>
      <w:r>
        <w:rPr>
          <w:rFonts w:ascii="宋体" w:hAnsi="宋体" w:hint="eastAsia"/>
          <w:b/>
          <w:sz w:val="36"/>
          <w:szCs w:val="36"/>
        </w:rPr>
        <w:t>上海市轨道交通运营服务乘客满意度测评报告</w:t>
      </w:r>
    </w:p>
    <w:p w14:paraId="EED8F127">
      <w:pPr>
        <w:pStyle w:val="style0"/>
        <w:spacing w:afterLines="100"/>
        <w:jc w:val="center"/>
        <w:rPr>
          <w:rFonts w:ascii="宋体" w:hAnsi="宋体"/>
          <w:b/>
          <w:sz w:val="36"/>
          <w:szCs w:val="36"/>
        </w:rPr>
      </w:pPr>
      <w:r>
        <w:rPr>
          <w:rFonts w:ascii="宋体" w:hAnsi="宋体" w:hint="eastAsia"/>
          <w:b/>
          <w:sz w:val="36"/>
          <w:szCs w:val="36"/>
        </w:rPr>
        <w:t>（20</w:t>
      </w:r>
      <w:r>
        <w:rPr>
          <w:rFonts w:ascii="宋体" w:hAnsi="宋体"/>
          <w:b/>
          <w:sz w:val="36"/>
          <w:szCs w:val="36"/>
        </w:rPr>
        <w:t>2</w:t>
      </w:r>
      <w:r>
        <w:rPr>
          <w:rFonts w:ascii="宋体" w:hAnsi="宋体" w:hint="eastAsia"/>
          <w:b/>
          <w:sz w:val="36"/>
          <w:szCs w:val="36"/>
        </w:rPr>
        <w:t>5</w:t>
      </w:r>
      <w:r>
        <w:rPr>
          <w:rFonts w:ascii="宋体" w:hAnsi="宋体" w:hint="eastAsia"/>
          <w:b/>
          <w:sz w:val="36"/>
          <w:szCs w:val="36"/>
        </w:rPr>
        <w:t>年第</w:t>
      </w:r>
      <w:r>
        <w:rPr>
          <w:rFonts w:ascii="宋体" w:hAnsi="宋体" w:hint="eastAsia"/>
          <w:b/>
          <w:sz w:val="36"/>
          <w:szCs w:val="36"/>
        </w:rPr>
        <w:t>二</w:t>
      </w:r>
      <w:r>
        <w:rPr>
          <w:rFonts w:ascii="宋体" w:hAnsi="宋体" w:hint="eastAsia"/>
          <w:b/>
          <w:sz w:val="36"/>
          <w:szCs w:val="36"/>
        </w:rPr>
        <w:t>季度）</w:t>
      </w:r>
    </w:p>
    <w:p w14:paraId="EA81A103">
      <w:pPr>
        <w:pStyle w:val="style1"/>
        <w:rPr/>
      </w:pPr>
      <w:r>
        <w:rPr>
          <w:rFonts w:hint="eastAsia"/>
        </w:rPr>
        <w:t>一、测评概况</w:t>
      </w:r>
    </w:p>
    <w:p w14:paraId="E2E05321">
      <w:pPr>
        <w:pStyle w:val="style4107"/>
        <w:spacing w:lineRule="auto" w:line="360"/>
        <w:ind w:firstLine="485" w:firstLineChars="202"/>
        <w:rPr>
          <w:rFonts w:ascii="微软雅黑" w:eastAsia="微软雅黑" w:hAnsi="微软雅黑"/>
          <w:bCs/>
          <w:sz w:val="24"/>
        </w:rPr>
      </w:pPr>
      <w:r>
        <w:rPr>
          <w:rFonts w:ascii="微软雅黑" w:eastAsia="微软雅黑" w:hAnsi="微软雅黑" w:hint="eastAsia"/>
          <w:bCs/>
          <w:sz w:val="24"/>
        </w:rPr>
        <w:t>20</w:t>
      </w:r>
      <w:r>
        <w:rPr>
          <w:rFonts w:ascii="微软雅黑" w:eastAsia="微软雅黑" w:hAnsi="微软雅黑"/>
          <w:bCs/>
          <w:sz w:val="24"/>
        </w:rPr>
        <w:t>2</w:t>
      </w:r>
      <w:r>
        <w:rPr>
          <w:rFonts w:ascii="微软雅黑" w:eastAsia="微软雅黑" w:hAnsi="微软雅黑" w:hint="eastAsia"/>
          <w:bCs/>
          <w:sz w:val="24"/>
        </w:rPr>
        <w:t>5</w:t>
      </w:r>
      <w:r>
        <w:rPr>
          <w:rFonts w:ascii="微软雅黑" w:eastAsia="微软雅黑" w:hAnsi="微软雅黑" w:hint="eastAsia"/>
          <w:bCs/>
          <w:sz w:val="24"/>
        </w:rPr>
        <w:t>年上海市轨道交通运营服务乘客满意度测评根据上海市城市交通行业管理部门客观评价各运营公司服务情况的要求，在综合考虑各公司客运量、服务条件基础上展开。测评内容涉及</w:t>
      </w:r>
      <w:r>
        <w:rPr>
          <w:rFonts w:ascii="微软雅黑" w:eastAsia="微软雅黑" w:hAnsi="微软雅黑" w:hint="eastAsia"/>
          <w:b/>
          <w:bCs/>
          <w:sz w:val="24"/>
          <w:u w:val="single"/>
        </w:rPr>
        <w:t>运营安全、车况站貌、优质服务、服务便捷以及投诉处理</w:t>
      </w:r>
      <w:r>
        <w:rPr>
          <w:rFonts w:ascii="微软雅黑" w:eastAsia="微软雅黑" w:hAnsi="微软雅黑" w:hint="eastAsia"/>
          <w:bCs/>
          <w:sz w:val="24"/>
        </w:rPr>
        <w:t>五大类指标。</w:t>
      </w:r>
    </w:p>
    <w:p w14:paraId="F016C798">
      <w:pPr>
        <w:pStyle w:val="style4107"/>
        <w:spacing w:lineRule="auto" w:line="360"/>
        <w:ind w:firstLine="424" w:firstLineChars="202"/>
        <w:jc w:val="center"/>
        <w:rPr>
          <w:rFonts w:ascii="微软雅黑" w:eastAsia="微软雅黑" w:hAnsi="微软雅黑"/>
          <w:bCs/>
          <w:sz w:val="24"/>
        </w:rPr>
      </w:pPr>
      <w:r>
        <w:rPr/>
        <w:drawing>
          <wp:inline distL="0" distT="0" distB="0" distR="0">
            <wp:extent cx="3916680" cy="2484120"/>
            <wp:effectExtent l="0" t="0" r="0" b="0"/>
            <wp:docPr id="1027" name="_x0000_t75" descr="图片14.pn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_x0000_t75"/>
                    <pic:cNvPicPr/>
                  </pic:nvPicPr>
                  <pic:blipFill>
                    <a:blip r:embed="rId2" cstate="print"/>
                    <a:srcRect l="0" t="0" r="0" b="0"/>
                    <a:stretch/>
                  </pic:blipFill>
                  <pic:spPr>
                    <a:xfrm rot="0">
                      <a:off x="0" y="0"/>
                      <a:ext cx="3916680" cy="2484120"/>
                    </a:xfrm>
                    <a:prstGeom prst="rect"/>
                    <a:ln>
                      <a:noFill/>
                    </a:ln>
                  </pic:spPr>
                </pic:pic>
              </a:graphicData>
            </a:graphic>
          </wp:inline>
        </w:drawing>
      </w:r>
    </w:p>
    <w:p w14:paraId="238D4FCB">
      <w:pPr>
        <w:pStyle w:val="style4107"/>
        <w:spacing w:lineRule="auto" w:line="360"/>
        <w:ind w:firstLine="480"/>
        <w:rPr>
          <w:rFonts w:ascii="微软雅黑" w:eastAsia="微软雅黑" w:hAnsi="微软雅黑"/>
          <w:sz w:val="24"/>
        </w:rPr>
      </w:pPr>
      <w:r>
        <w:rPr>
          <w:rFonts w:ascii="微软雅黑" w:eastAsia="微软雅黑" w:hAnsi="微软雅黑" w:hint="eastAsia"/>
          <w:sz w:val="24"/>
        </w:rPr>
        <w:t>2025年第二季度乘客满意度测评样本采集范围分布于全市21条轨道交通线路（含市域机场线），覆盖所有车站，共获取有效样本17745份。</w:t>
      </w:r>
    </w:p>
    <w:p w14:paraId="2ADF4E35">
      <w:pPr>
        <w:pStyle w:val="style4107"/>
        <w:snapToGrid w:val="false"/>
        <w:ind w:firstLine="0" w:firstLineChars="0"/>
        <w:rPr>
          <w:rFonts w:ascii="宋体" w:hAnsi="宋体"/>
          <w:b/>
          <w:bCs/>
          <w:kern w:val="44"/>
          <w:sz w:val="28"/>
          <w:szCs w:val="44"/>
        </w:rPr>
      </w:pPr>
    </w:p>
    <w:p w14:paraId="22EDC556">
      <w:pPr>
        <w:pStyle w:val="style4107"/>
        <w:snapToGrid w:val="false"/>
        <w:ind w:firstLine="0" w:firstLineChars="0"/>
        <w:rPr>
          <w:rFonts w:ascii="宋体" w:hAnsi="宋体"/>
          <w:b/>
          <w:bCs/>
          <w:kern w:val="44"/>
          <w:sz w:val="28"/>
          <w:szCs w:val="44"/>
        </w:rPr>
      </w:pPr>
    </w:p>
    <w:p w14:paraId="2DFFF1D2">
      <w:pPr>
        <w:pStyle w:val="style4107"/>
        <w:snapToGrid w:val="false"/>
        <w:ind w:firstLine="0" w:firstLineChars="0"/>
        <w:rPr>
          <w:rFonts w:ascii="宋体" w:hAnsi="宋体"/>
          <w:b/>
          <w:bCs/>
          <w:kern w:val="44"/>
          <w:sz w:val="28"/>
          <w:szCs w:val="44"/>
        </w:rPr>
      </w:pPr>
    </w:p>
    <w:p w14:paraId="8A73DA88">
      <w:pPr>
        <w:pStyle w:val="style4107"/>
        <w:snapToGrid w:val="false"/>
        <w:ind w:firstLine="0" w:firstLineChars="0"/>
        <w:rPr>
          <w:rFonts w:ascii="宋体" w:hAnsi="宋体"/>
          <w:b/>
          <w:bCs/>
          <w:kern w:val="44"/>
          <w:sz w:val="28"/>
          <w:szCs w:val="44"/>
        </w:rPr>
      </w:pPr>
    </w:p>
    <w:p w14:paraId="B77FD558">
      <w:pPr>
        <w:pStyle w:val="style4107"/>
        <w:snapToGrid w:val="false"/>
        <w:ind w:firstLine="0" w:firstLineChars="0"/>
        <w:rPr>
          <w:rFonts w:ascii="宋体" w:hAnsi="宋体"/>
          <w:b/>
          <w:bCs/>
          <w:kern w:val="44"/>
          <w:sz w:val="28"/>
          <w:szCs w:val="44"/>
        </w:rPr>
      </w:pPr>
    </w:p>
    <w:p w14:paraId="CA96A853">
      <w:pPr>
        <w:pStyle w:val="style4107"/>
        <w:snapToGrid w:val="false"/>
        <w:ind w:firstLine="0" w:firstLineChars="0"/>
        <w:rPr>
          <w:rFonts w:ascii="宋体" w:hAnsi="宋体"/>
          <w:b/>
          <w:bCs/>
          <w:kern w:val="44"/>
          <w:sz w:val="28"/>
          <w:szCs w:val="44"/>
        </w:rPr>
      </w:pPr>
    </w:p>
    <w:p w14:paraId="53718D2E">
      <w:pPr>
        <w:pStyle w:val="style4107"/>
        <w:snapToGrid w:val="false"/>
        <w:ind w:firstLine="0" w:firstLineChars="0"/>
        <w:rPr>
          <w:rFonts w:ascii="宋体" w:hAnsi="宋体"/>
          <w:b/>
          <w:bCs/>
          <w:kern w:val="44"/>
          <w:sz w:val="28"/>
          <w:szCs w:val="44"/>
        </w:rPr>
      </w:pPr>
    </w:p>
    <w:p w14:paraId="02E8F111">
      <w:pPr>
        <w:pStyle w:val="style4107"/>
        <w:snapToGrid w:val="false"/>
        <w:ind w:firstLine="0" w:firstLineChars="0"/>
        <w:rPr>
          <w:rFonts w:ascii="宋体" w:hAnsi="宋体"/>
          <w:b/>
          <w:bCs/>
          <w:kern w:val="44"/>
          <w:sz w:val="28"/>
          <w:szCs w:val="44"/>
        </w:rPr>
      </w:pPr>
    </w:p>
    <w:p w14:paraId="EDA85B8E">
      <w:pPr>
        <w:pStyle w:val="style1"/>
        <w:spacing w:afterLines="50"/>
        <w:rPr/>
      </w:pPr>
      <w:r>
        <w:rPr>
          <w:rFonts w:hint="eastAsia"/>
        </w:rPr>
        <w:t>二、主要结论</w:t>
      </w:r>
    </w:p>
    <w:p w14:paraId="4A320D5E">
      <w:pPr>
        <w:pStyle w:val="style82"/>
        <w:snapToGrid w:val="false"/>
        <w:spacing w:afterLines="50" w:lineRule="auto" w:line="360"/>
        <w:ind w:firstLine="482" w:firstLineChars="201"/>
        <w:jc w:val="left"/>
        <w:rPr>
          <w:rFonts w:ascii="微软雅黑" w:eastAsia="微软雅黑" w:hAnsi="微软雅黑"/>
          <w:b/>
          <w:sz w:val="24"/>
          <w:szCs w:val="24"/>
        </w:rPr>
      </w:pPr>
      <w:r>
        <w:rPr>
          <w:rFonts w:ascii="微软雅黑" w:eastAsia="微软雅黑" w:hAnsi="微软雅黑" w:hint="eastAsia"/>
          <w:b/>
          <w:sz w:val="24"/>
          <w:szCs w:val="24"/>
        </w:rPr>
        <w:t>1、</w:t>
      </w:r>
      <w:r>
        <w:rPr>
          <w:rFonts w:ascii="微软雅黑" w:eastAsia="微软雅黑" w:hAnsi="微软雅黑" w:hint="eastAsia"/>
          <w:b/>
          <w:sz w:val="24"/>
          <w:szCs w:val="24"/>
        </w:rPr>
        <w:t>上海市轨道交通服务质量乘客满意度处于较高水平</w:t>
      </w:r>
    </w:p>
    <w:p w14:paraId="FAD8F0AA">
      <w:pPr>
        <w:pStyle w:val="style0"/>
        <w:snapToGrid w:val="false"/>
        <w:spacing w:after="160" w:lineRule="auto" w:line="360"/>
        <w:ind w:firstLine="480" w:firstLineChars="200"/>
        <w:rPr>
          <w:rFonts w:ascii="微软雅黑" w:eastAsia="微软雅黑" w:hAnsi="微软雅黑"/>
          <w:sz w:val="24"/>
          <w:szCs w:val="21"/>
        </w:rPr>
      </w:pPr>
      <w:r>
        <w:rPr>
          <w:rFonts w:ascii="微软雅黑" w:eastAsia="微软雅黑" w:hAnsi="微软雅黑" w:hint="eastAsia"/>
          <w:sz w:val="24"/>
          <w:szCs w:val="21"/>
        </w:rPr>
        <w:t>2025年第二季度，上海市轨道交通运营服务乘客总体满意度为</w:t>
      </w:r>
      <w:r>
        <w:rPr>
          <w:rFonts w:ascii="微软雅黑" w:eastAsia="微软雅黑" w:hAnsi="微软雅黑"/>
          <w:sz w:val="24"/>
          <w:szCs w:val="21"/>
        </w:rPr>
        <w:t>89.67</w:t>
      </w:r>
      <w:r>
        <w:rPr>
          <w:rFonts w:ascii="微软雅黑" w:eastAsia="微软雅黑" w:hAnsi="微软雅黑" w:hint="eastAsia"/>
          <w:sz w:val="24"/>
          <w:szCs w:val="21"/>
        </w:rPr>
        <w:t>。与上季度相比，乘客满意度下降了</w:t>
      </w:r>
      <w:r>
        <w:rPr>
          <w:rFonts w:ascii="微软雅黑" w:eastAsia="微软雅黑" w:hAnsi="微软雅黑"/>
          <w:sz w:val="24"/>
          <w:szCs w:val="21"/>
        </w:rPr>
        <w:t>0.</w:t>
      </w:r>
      <w:r>
        <w:rPr>
          <w:rFonts w:ascii="微软雅黑" w:eastAsia="微软雅黑" w:hAnsi="微软雅黑" w:hint="eastAsia"/>
          <w:sz w:val="24"/>
          <w:szCs w:val="21"/>
        </w:rPr>
        <w:t>33，但仍处于较高水平。</w:t>
      </w:r>
    </w:p>
    <w:p w14:paraId="55ECEAD8">
      <w:pPr>
        <w:pStyle w:val="style0"/>
        <w:snapToGrid w:val="false"/>
        <w:spacing w:after="160" w:lineRule="auto" w:line="360"/>
        <w:ind w:firstLine="480" w:firstLineChars="200"/>
        <w:rPr>
          <w:rFonts w:ascii="微软雅黑" w:eastAsia="微软雅黑" w:hAnsi="微软雅黑"/>
          <w:sz w:val="24"/>
          <w:szCs w:val="21"/>
        </w:rPr>
      </w:pPr>
      <w:r>
        <w:rPr>
          <w:rFonts w:ascii="微软雅黑" w:eastAsia="微软雅黑" w:hAnsi="微软雅黑" w:hint="eastAsia"/>
          <w:sz w:val="24"/>
          <w:szCs w:val="21"/>
        </w:rPr>
        <w:t>各项大类指标中，乘客对“优质服务”的满意度相对较高，为</w:t>
      </w:r>
      <w:r>
        <w:rPr>
          <w:rFonts w:ascii="微软雅黑" w:eastAsia="微软雅黑" w:hAnsi="微软雅黑"/>
          <w:sz w:val="24"/>
          <w:szCs w:val="21"/>
        </w:rPr>
        <w:t>90.18</w:t>
      </w:r>
      <w:r>
        <w:rPr>
          <w:rFonts w:ascii="微软雅黑" w:eastAsia="微软雅黑" w:hAnsi="微软雅黑" w:hint="eastAsia"/>
          <w:sz w:val="24"/>
          <w:szCs w:val="21"/>
        </w:rPr>
        <w:t>。各线路中，乘客对磁浮线、市域机场线和14号线的满意度相对较高，分别为</w:t>
      </w:r>
      <w:r>
        <w:rPr>
          <w:rFonts w:ascii="微软雅黑" w:eastAsia="微软雅黑" w:hAnsi="微软雅黑"/>
          <w:sz w:val="24"/>
          <w:szCs w:val="21"/>
        </w:rPr>
        <w:t>93.89</w:t>
      </w:r>
      <w:r>
        <w:rPr>
          <w:rFonts w:ascii="微软雅黑" w:eastAsia="微软雅黑" w:hAnsi="微软雅黑" w:hint="eastAsia"/>
          <w:sz w:val="24"/>
          <w:szCs w:val="21"/>
        </w:rPr>
        <w:t>、</w:t>
      </w:r>
      <w:r>
        <w:rPr>
          <w:rFonts w:ascii="微软雅黑" w:eastAsia="微软雅黑" w:hAnsi="微软雅黑"/>
          <w:sz w:val="24"/>
          <w:szCs w:val="21"/>
        </w:rPr>
        <w:t>93.41</w:t>
      </w:r>
      <w:r>
        <w:rPr>
          <w:rFonts w:ascii="微软雅黑" w:eastAsia="微软雅黑" w:hAnsi="微软雅黑" w:hint="eastAsia"/>
          <w:sz w:val="24"/>
          <w:szCs w:val="21"/>
        </w:rPr>
        <w:t>和</w:t>
      </w:r>
      <w:r>
        <w:rPr>
          <w:rFonts w:ascii="微软雅黑" w:eastAsia="微软雅黑" w:hAnsi="微软雅黑"/>
          <w:sz w:val="24"/>
          <w:szCs w:val="21"/>
        </w:rPr>
        <w:t>93.34</w:t>
      </w:r>
      <w:r>
        <w:rPr>
          <w:rFonts w:ascii="微软雅黑" w:eastAsia="微软雅黑" w:hAnsi="微软雅黑" w:hint="eastAsia"/>
          <w:sz w:val="24"/>
          <w:szCs w:val="21"/>
        </w:rPr>
        <w:t>，而对1号线和2号线的满意度相对较低。</w:t>
      </w:r>
    </w:p>
    <w:p w14:paraId="2367FDA9">
      <w:pPr>
        <w:pStyle w:val="style0"/>
        <w:snapToGrid w:val="false"/>
        <w:spacing w:after="160" w:lineRule="auto" w:line="360"/>
        <w:jc w:val="center"/>
        <w:rPr>
          <w:rFonts w:ascii="微软雅黑" w:cs="仿宋_GB2312" w:eastAsia="微软雅黑" w:hAnsi="微软雅黑"/>
          <w:sz w:val="24"/>
          <w:szCs w:val="21"/>
        </w:rPr>
      </w:pPr>
      <w:r>
        <w:rPr>
          <w:rFonts w:ascii="微软雅黑" w:cs="仿宋_GB2312" w:eastAsia="微软雅黑" w:hAnsi="微软雅黑"/>
          <w:sz w:val="24"/>
          <w:szCs w:val="21"/>
        </w:rPr>
        <w:drawing>
          <wp:inline distL="0" distT="0" distB="0" distR="0">
            <wp:extent cx="4678680" cy="5867400"/>
            <wp:effectExtent l="0" t="0" r="0" b="0"/>
            <wp:docPr id="1028" name="_x0000_t75"/>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1" name="_x0000_t75"/>
                    <pic:cNvPicPr/>
                  </pic:nvPicPr>
                  <pic:blipFill>
                    <a:blip r:embed="rId3" cstate="print"/>
                    <a:srcRect l="0" t="0" r="0" b="0"/>
                    <a:stretch/>
                  </pic:blipFill>
                  <pic:spPr>
                    <a:xfrm rot="0">
                      <a:off x="0" y="0"/>
                      <a:ext cx="4678680" cy="5867400"/>
                    </a:xfrm>
                    <a:prstGeom prst="rect"/>
                    <a:ln>
                      <a:noFill/>
                    </a:ln>
                  </pic:spPr>
                </pic:pic>
              </a:graphicData>
            </a:graphic>
          </wp:inline>
        </w:drawing>
      </w:r>
    </w:p>
    <w:p w14:paraId="B2D8AFBA">
      <w:pPr>
        <w:pStyle w:val="style82"/>
        <w:snapToGrid w:val="false"/>
        <w:spacing w:afterLines="50" w:lineRule="auto" w:line="360"/>
        <w:ind w:firstLine="482" w:firstLineChars="201"/>
        <w:jc w:val="left"/>
        <w:rPr>
          <w:rFonts w:ascii="微软雅黑" w:eastAsia="微软雅黑" w:hAnsi="微软雅黑"/>
          <w:b/>
          <w:sz w:val="24"/>
          <w:szCs w:val="24"/>
        </w:rPr>
      </w:pPr>
      <w:r>
        <w:rPr>
          <w:rFonts w:ascii="微软雅黑" w:eastAsia="微软雅黑" w:hAnsi="微软雅黑"/>
          <w:b/>
          <w:sz w:val="24"/>
          <w:szCs w:val="24"/>
        </w:rPr>
        <w:t>2</w:t>
      </w:r>
      <w:r>
        <w:rPr>
          <w:rFonts w:ascii="微软雅黑" w:eastAsia="微软雅黑" w:hAnsi="微软雅黑" w:hint="eastAsia"/>
          <w:b/>
          <w:sz w:val="24"/>
          <w:szCs w:val="24"/>
        </w:rPr>
        <w:t>、</w:t>
      </w:r>
      <w:r>
        <w:rPr>
          <w:rFonts w:ascii="微软雅黑" w:eastAsia="微软雅黑" w:hAnsi="微软雅黑" w:hint="eastAsia"/>
          <w:b/>
          <w:sz w:val="24"/>
          <w:szCs w:val="24"/>
        </w:rPr>
        <w:t>优质服务评价最高，服务规范受乘客肯定</w:t>
      </w:r>
    </w:p>
    <w:p w14:paraId="73C027E3">
      <w:pPr>
        <w:pStyle w:val="style0"/>
        <w:snapToGrid w:val="false"/>
        <w:spacing w:beforeLines="50" w:after="160" w:lineRule="auto" w:line="360"/>
        <w:ind w:right="42" w:rightChars="20" w:firstLine="480" w:firstLineChars="200"/>
        <w:rPr>
          <w:rFonts w:ascii="微软雅黑" w:eastAsia="微软雅黑" w:hAnsi="微软雅黑"/>
          <w:sz w:val="24"/>
          <w:szCs w:val="21"/>
        </w:rPr>
      </w:pPr>
      <w:r>
        <w:rPr>
          <w:rFonts w:ascii="微软雅黑" w:eastAsia="微软雅黑" w:hAnsi="微软雅黑" w:hint="eastAsia"/>
          <w:sz w:val="24"/>
          <w:szCs w:val="21"/>
        </w:rPr>
        <w:t>本季度轨道交通运营服务乘客满意度测评结果显示，乘客对“优质服务”的满意度为90.18，是所有大类指标中最高的一项。</w:t>
      </w:r>
    </w:p>
    <w:p w14:paraId="17BC47A3">
      <w:pPr>
        <w:pStyle w:val="style0"/>
        <w:snapToGrid w:val="false"/>
        <w:spacing w:beforeLines="50" w:after="160" w:lineRule="auto" w:line="360"/>
        <w:ind w:right="42" w:rightChars="20" w:firstLine="480" w:firstLineChars="200"/>
        <w:rPr>
          <w:rFonts w:ascii="微软雅黑" w:eastAsia="微软雅黑" w:hAnsi="微软雅黑"/>
          <w:sz w:val="24"/>
          <w:szCs w:val="21"/>
        </w:rPr>
      </w:pPr>
      <w:r>
        <w:rPr>
          <w:rFonts w:ascii="微软雅黑" w:eastAsia="微软雅黑" w:hAnsi="微软雅黑" w:hint="eastAsia"/>
          <w:sz w:val="24"/>
          <w:szCs w:val="21"/>
        </w:rPr>
        <w:t>具体来看，乘客对“服务人员服饰整洁、仪表大方”和“服务人员用语、举止文明（十字文明用语）”方面的满意度较高，分别为90.26和90.65，说明工作人员的服务形象和用语规范受到了广大乘客的认可。希望上海</w:t>
      </w:r>
      <w:r>
        <w:rPr>
          <w:rFonts w:ascii="微软雅黑" w:eastAsia="微软雅黑" w:hAnsi="微软雅黑" w:hint="default"/>
          <w:sz w:val="24"/>
          <w:szCs w:val="21"/>
          <w:lang w:val="en-US"/>
        </w:rPr>
        <w:t>轨道交通运营企业</w:t>
      </w:r>
      <w:r>
        <w:rPr>
          <w:rFonts w:ascii="微软雅黑" w:eastAsia="微软雅黑" w:hAnsi="微软雅黑" w:hint="eastAsia"/>
          <w:sz w:val="24"/>
          <w:szCs w:val="21"/>
        </w:rPr>
        <w:t>能始终做好人员的服务规范管理，通过更专业、更主动、更耐心的服务，让乘客的出行更加顺利、舒适。</w:t>
      </w:r>
    </w:p>
    <w:p w14:paraId="38341779">
      <w:pPr>
        <w:pStyle w:val="style82"/>
        <w:snapToGrid w:val="false"/>
        <w:spacing w:afterLines="50" w:lineRule="auto" w:line="360"/>
        <w:ind w:firstLine="482" w:firstLineChars="201"/>
        <w:jc w:val="left"/>
        <w:rPr>
          <w:rFonts w:ascii="微软雅黑" w:eastAsia="微软雅黑" w:hAnsi="微软雅黑"/>
          <w:b/>
          <w:sz w:val="24"/>
          <w:szCs w:val="24"/>
        </w:rPr>
      </w:pPr>
      <w:r>
        <w:rPr>
          <w:rFonts w:ascii="微软雅黑" w:eastAsia="微软雅黑" w:hAnsi="微软雅黑"/>
          <w:b/>
          <w:sz w:val="24"/>
          <w:szCs w:val="24"/>
        </w:rPr>
        <w:t>3</w:t>
      </w:r>
      <w:r>
        <w:rPr>
          <w:rFonts w:ascii="微软雅黑" w:eastAsia="微软雅黑" w:hAnsi="微软雅黑" w:hint="eastAsia"/>
          <w:b/>
          <w:sz w:val="24"/>
          <w:szCs w:val="24"/>
        </w:rPr>
        <w:t>、</w:t>
      </w:r>
      <w:r>
        <w:rPr>
          <w:rFonts w:ascii="微软雅黑" w:cs="仿宋_GB2312" w:eastAsia="微软雅黑" w:hAnsi="微软雅黑" w:hint="eastAsia"/>
          <w:b/>
          <w:bCs/>
          <w:kern w:val="2"/>
          <w:sz w:val="24"/>
          <w:szCs w:val="21"/>
        </w:rPr>
        <w:t>出行效率有保障，乘车便利性进一步提升</w:t>
      </w:r>
    </w:p>
    <w:p w14:paraId="401BB8FA">
      <w:pPr>
        <w:pStyle w:val="style0"/>
        <w:snapToGrid w:val="false"/>
        <w:spacing w:beforeLines="50" w:after="160" w:lineRule="auto" w:line="360"/>
        <w:ind w:right="42" w:rightChars="20" w:firstLine="480" w:firstLineChars="200"/>
        <w:rPr>
          <w:rFonts w:ascii="微软雅黑" w:cs="仿宋_GB2312" w:eastAsia="微软雅黑" w:hAnsi="微软雅黑"/>
          <w:color w:val="000000"/>
          <w:sz w:val="24"/>
          <w:szCs w:val="21"/>
        </w:rPr>
      </w:pPr>
      <w:r>
        <w:rPr>
          <w:rFonts w:ascii="微软雅黑" w:cs="仿宋_GB2312" w:eastAsia="微软雅黑" w:hAnsi="微软雅黑" w:hint="eastAsia"/>
          <w:color w:val="000000"/>
          <w:sz w:val="24"/>
          <w:szCs w:val="21"/>
        </w:rPr>
        <w:t>本季度轨道交通运营服务乘客满意度测评结果显示，乘客对“</w:t>
      </w:r>
      <w:bookmarkStart w:id="0" w:name="OLE_LINK3"/>
      <w:r>
        <w:rPr>
          <w:rFonts w:ascii="微软雅黑" w:cs="仿宋_GB2312" w:eastAsia="微软雅黑" w:hAnsi="微软雅黑" w:hint="eastAsia"/>
          <w:color w:val="000000"/>
          <w:sz w:val="24"/>
          <w:szCs w:val="21"/>
        </w:rPr>
        <w:t>服务便捷</w:t>
      </w:r>
      <w:bookmarkEnd w:id="0"/>
      <w:r>
        <w:rPr>
          <w:rFonts w:ascii="微软雅黑" w:cs="仿宋_GB2312" w:eastAsia="微软雅黑" w:hAnsi="微软雅黑" w:hint="eastAsia"/>
          <w:color w:val="000000"/>
          <w:sz w:val="24"/>
          <w:szCs w:val="21"/>
        </w:rPr>
        <w:t>”的满意度为</w:t>
      </w:r>
      <w:r>
        <w:rPr>
          <w:rFonts w:ascii="微软雅黑" w:cs="仿宋_GB2312" w:eastAsia="微软雅黑" w:hAnsi="微软雅黑"/>
          <w:color w:val="000000"/>
          <w:sz w:val="24"/>
          <w:szCs w:val="21"/>
        </w:rPr>
        <w:t>89.82</w:t>
      </w:r>
      <w:r>
        <w:rPr>
          <w:rFonts w:ascii="微软雅黑" w:cs="仿宋_GB2312" w:eastAsia="微软雅黑" w:hAnsi="微软雅黑" w:hint="eastAsia"/>
          <w:color w:val="000000"/>
          <w:sz w:val="24"/>
          <w:szCs w:val="21"/>
        </w:rPr>
        <w:t>，是所有大类指标中较高的一项。</w:t>
      </w:r>
    </w:p>
    <w:p w14:paraId="AF84CFAC">
      <w:pPr>
        <w:pStyle w:val="style0"/>
        <w:snapToGrid w:val="false"/>
        <w:spacing w:beforeLines="50" w:after="160" w:lineRule="auto" w:line="360"/>
        <w:ind w:right="42" w:rightChars="20" w:firstLine="480" w:firstLineChars="200"/>
        <w:rPr>
          <w:rFonts w:ascii="微软雅黑" w:cs="仿宋_GB2312" w:eastAsia="微软雅黑" w:hAnsi="微软雅黑"/>
          <w:color w:val="000000"/>
          <w:sz w:val="24"/>
          <w:szCs w:val="21"/>
        </w:rPr>
      </w:pPr>
      <w:r>
        <w:rPr>
          <w:rFonts w:ascii="微软雅黑" w:cs="仿宋_GB2312" w:eastAsia="微软雅黑" w:hAnsi="微软雅黑" w:hint="eastAsia"/>
          <w:color w:val="000000"/>
          <w:sz w:val="24"/>
          <w:szCs w:val="21"/>
        </w:rPr>
        <w:t>从“服务便捷”的各项指标看，乘客对“列车运行准时”、“购、检票方便快捷”和“通道畅通有序，无乱设摊”方面的满意度较高，分别为</w:t>
      </w:r>
      <w:r>
        <w:rPr>
          <w:rFonts w:ascii="微软雅黑" w:cs="仿宋_GB2312" w:eastAsia="微软雅黑" w:hAnsi="微软雅黑"/>
          <w:color w:val="000000"/>
          <w:sz w:val="24"/>
          <w:szCs w:val="21"/>
        </w:rPr>
        <w:t>90.48</w:t>
      </w:r>
      <w:r>
        <w:rPr>
          <w:rFonts w:ascii="微软雅黑" w:cs="仿宋_GB2312" w:eastAsia="微软雅黑" w:hAnsi="微软雅黑" w:hint="eastAsia"/>
          <w:color w:val="000000"/>
          <w:sz w:val="24"/>
          <w:szCs w:val="21"/>
        </w:rPr>
        <w:t>、</w:t>
      </w:r>
      <w:r>
        <w:rPr>
          <w:rFonts w:ascii="微软雅黑" w:cs="仿宋_GB2312" w:eastAsia="微软雅黑" w:hAnsi="微软雅黑"/>
          <w:color w:val="000000"/>
          <w:sz w:val="24"/>
          <w:szCs w:val="21"/>
        </w:rPr>
        <w:t>90.35</w:t>
      </w:r>
      <w:r>
        <w:rPr>
          <w:rFonts w:ascii="微软雅黑" w:cs="仿宋_GB2312" w:eastAsia="微软雅黑" w:hAnsi="微软雅黑" w:hint="eastAsia"/>
          <w:color w:val="000000"/>
          <w:sz w:val="24"/>
          <w:szCs w:val="21"/>
        </w:rPr>
        <w:t>和</w:t>
      </w:r>
      <w:r>
        <w:rPr>
          <w:rFonts w:ascii="微软雅黑" w:cs="仿宋_GB2312" w:eastAsia="微软雅黑" w:hAnsi="微软雅黑"/>
          <w:color w:val="000000"/>
          <w:sz w:val="24"/>
          <w:szCs w:val="21"/>
        </w:rPr>
        <w:t>90.31</w:t>
      </w:r>
      <w:r>
        <w:rPr>
          <w:rFonts w:ascii="微软雅黑" w:cs="仿宋_GB2312" w:eastAsia="微软雅黑" w:hAnsi="微软雅黑" w:hint="eastAsia"/>
          <w:color w:val="000000"/>
          <w:sz w:val="24"/>
          <w:szCs w:val="21"/>
        </w:rPr>
        <w:t>。当前，乘客的进站支付方式愈发多样化，乘客除了使用手机NFC、大都会APP和交通卡进站外，</w:t>
      </w:r>
      <w:r>
        <w:rPr>
          <w:rFonts w:ascii="微软雅黑" w:cs="仿宋_GB2312" w:eastAsia="微软雅黑" w:hAnsi="微软雅黑" w:hint="default"/>
          <w:color w:val="000000"/>
          <w:sz w:val="24"/>
          <w:szCs w:val="21"/>
          <w:lang w:val="en-US"/>
        </w:rPr>
        <w:t>还</w:t>
      </w:r>
      <w:r>
        <w:rPr>
          <w:rFonts w:ascii="微软雅黑" w:cs="仿宋_GB2312" w:eastAsia="微软雅黑" w:hAnsi="微软雅黑" w:hint="eastAsia"/>
          <w:color w:val="000000"/>
          <w:sz w:val="24"/>
          <w:szCs w:val="21"/>
        </w:rPr>
        <w:t>通过微信和支付宝上的乘车码进站。从乘客评价来看，通过微信和支付宝上的乘车码进站的乘客对购检票方面的满意度更高。近日，</w:t>
      </w:r>
      <w:r>
        <w:rPr>
          <w:rFonts w:ascii="微软雅黑" w:cs="仿宋_GB2312" w:eastAsia="微软雅黑" w:hAnsi="微软雅黑" w:hint="default"/>
          <w:color w:val="000000"/>
          <w:sz w:val="24"/>
          <w:szCs w:val="21"/>
          <w:lang w:val="en-US"/>
        </w:rPr>
        <w:t>轨道交通运营企业</w:t>
      </w:r>
      <w:r>
        <w:rPr>
          <w:rFonts w:ascii="微软雅黑" w:cs="仿宋_GB2312" w:eastAsia="微软雅黑" w:hAnsi="微软雅黑" w:hint="eastAsia"/>
          <w:color w:val="000000"/>
          <w:sz w:val="24"/>
          <w:szCs w:val="21"/>
        </w:rPr>
        <w:t>进一步提升支付便利性，乘客可以使用各类银行卡和数字人民币硬钱包刷卡过闸，乘客出行便利性持续提升。希望</w:t>
      </w:r>
      <w:r>
        <w:rPr>
          <w:rFonts w:ascii="微软雅黑" w:cs="仿宋_GB2312" w:eastAsia="微软雅黑" w:hAnsi="微软雅黑" w:hint="default"/>
          <w:color w:val="000000"/>
          <w:sz w:val="24"/>
          <w:szCs w:val="21"/>
          <w:lang w:val="en-US"/>
        </w:rPr>
        <w:t>轨道交通运营企业</w:t>
      </w:r>
      <w:r>
        <w:rPr>
          <w:rFonts w:ascii="微软雅黑" w:cs="仿宋_GB2312" w:eastAsia="微软雅黑" w:hAnsi="微软雅黑" w:hint="eastAsia"/>
          <w:color w:val="000000"/>
          <w:sz w:val="24"/>
          <w:szCs w:val="21"/>
        </w:rPr>
        <w:t>能够在软硬件服务上持续提升，一方面做好列车系统、购检票系统的维护保养工作，另一方面做好客流引导，畅通</w:t>
      </w:r>
      <w:r>
        <w:rPr>
          <w:rFonts w:ascii="微软雅黑" w:cs="仿宋_GB2312" w:eastAsia="微软雅黑" w:hAnsi="微软雅黑" w:hint="default"/>
          <w:color w:val="000000"/>
          <w:sz w:val="24"/>
          <w:szCs w:val="21"/>
          <w:lang w:val="en-US"/>
        </w:rPr>
        <w:t>轨道交通</w:t>
      </w:r>
      <w:r>
        <w:rPr>
          <w:rFonts w:ascii="微软雅黑" w:cs="仿宋_GB2312" w:eastAsia="微软雅黑" w:hAnsi="微软雅黑" w:hint="eastAsia"/>
          <w:color w:val="000000"/>
          <w:sz w:val="24"/>
          <w:szCs w:val="21"/>
        </w:rPr>
        <w:t>出行的各环节，保障乘客出行的便利性。</w:t>
      </w:r>
    </w:p>
    <w:p w14:paraId="FCE1FBB7">
      <w:pPr>
        <w:pStyle w:val="style0"/>
        <w:snapToGrid w:val="false"/>
        <w:spacing w:beforeLines="50" w:lineRule="auto" w:line="360"/>
        <w:ind w:right="42" w:rightChars="20" w:firstLine="480" w:firstLineChars="200"/>
        <w:rPr>
          <w:rFonts w:ascii="微软雅黑" w:cs="仿宋_GB2312" w:eastAsia="微软雅黑" w:hAnsi="微软雅黑"/>
          <w:b/>
          <w:bCs/>
          <w:sz w:val="24"/>
          <w:szCs w:val="21"/>
        </w:rPr>
      </w:pPr>
      <w:r>
        <w:rPr>
          <w:rFonts w:ascii="微软雅黑" w:eastAsia="微软雅黑" w:hAnsi="微软雅黑"/>
          <w:b/>
          <w:sz w:val="24"/>
          <w:szCs w:val="24"/>
        </w:rPr>
        <w:t>4</w:t>
      </w:r>
      <w:r>
        <w:rPr>
          <w:rFonts w:ascii="微软雅黑" w:eastAsia="微软雅黑" w:hAnsi="微软雅黑" w:hint="eastAsia"/>
          <w:b/>
          <w:sz w:val="24"/>
          <w:szCs w:val="24"/>
        </w:rPr>
        <w:t>、</w:t>
      </w:r>
      <w:r>
        <w:rPr>
          <w:rFonts w:ascii="微软雅黑" w:cs="仿宋_GB2312" w:eastAsia="微软雅黑" w:hAnsi="微软雅黑" w:hint="eastAsia"/>
          <w:b/>
          <w:bCs/>
          <w:sz w:val="24"/>
          <w:szCs w:val="21"/>
        </w:rPr>
        <w:t>平衡安检的规范和效率，改善乘客安检体验</w:t>
      </w:r>
    </w:p>
    <w:p w14:paraId="6B66ED92">
      <w:pPr>
        <w:pStyle w:val="style0"/>
        <w:snapToGrid w:val="false"/>
        <w:spacing w:beforeLines="50" w:lineRule="auto" w:line="360"/>
        <w:ind w:right="42" w:rightChars="20" w:firstLine="480" w:firstLineChars="200"/>
        <w:rPr>
          <w:rFonts w:ascii="微软雅黑" w:cs="仿宋_GB2312" w:eastAsia="微软雅黑" w:hAnsi="微软雅黑"/>
          <w:color w:val="000000"/>
          <w:sz w:val="24"/>
          <w:szCs w:val="21"/>
        </w:rPr>
      </w:pPr>
      <w:r>
        <w:rPr>
          <w:rFonts w:ascii="微软雅黑" w:cs="仿宋_GB2312" w:eastAsia="微软雅黑" w:hAnsi="微软雅黑" w:hint="eastAsia"/>
          <w:color w:val="000000"/>
          <w:sz w:val="24"/>
          <w:szCs w:val="21"/>
        </w:rPr>
        <w:t>本次测评中，乘客对“安检工作规范有序、通过顺畅”的满意度为</w:t>
      </w:r>
      <w:r>
        <w:rPr>
          <w:rFonts w:ascii="微软雅黑" w:cs="仿宋_GB2312" w:eastAsia="微软雅黑" w:hAnsi="微软雅黑"/>
          <w:color w:val="000000"/>
          <w:sz w:val="24"/>
          <w:szCs w:val="21"/>
        </w:rPr>
        <w:t>88.39</w:t>
      </w:r>
      <w:r>
        <w:rPr>
          <w:rFonts w:ascii="微软雅黑" w:cs="仿宋_GB2312" w:eastAsia="微软雅黑" w:hAnsi="微软雅黑" w:hint="eastAsia"/>
          <w:color w:val="000000"/>
          <w:sz w:val="24"/>
          <w:szCs w:val="21"/>
        </w:rPr>
        <w:t>，较上季度下降了1.37。</w:t>
      </w:r>
    </w:p>
    <w:bookmarkStart w:id="1" w:name="OLE_LINK14"/>
    <w:p w14:paraId="597FB347">
      <w:pPr>
        <w:pStyle w:val="style0"/>
        <w:snapToGrid w:val="false"/>
        <w:spacing w:beforeLines="50" w:lineRule="auto" w:line="360"/>
        <w:ind w:right="42" w:rightChars="20" w:firstLine="480" w:firstLineChars="200"/>
        <w:rPr>
          <w:rFonts w:ascii="微软雅黑" w:cs="仿宋_GB2312" w:eastAsia="微软雅黑" w:hAnsi="微软雅黑"/>
          <w:color w:val="000000"/>
          <w:sz w:val="24"/>
          <w:szCs w:val="21"/>
        </w:rPr>
      </w:pPr>
      <w:r>
        <w:rPr>
          <w:rFonts w:ascii="微软雅黑" w:cs="仿宋_GB2312" w:eastAsia="微软雅黑" w:hAnsi="微软雅黑" w:hint="eastAsia"/>
          <w:color w:val="000000"/>
          <w:sz w:val="24"/>
          <w:szCs w:val="21"/>
        </w:rPr>
        <w:t>从乘客对安检工作不满意的方面来看，主要</w:t>
      </w:r>
      <w:r>
        <w:rPr>
          <w:rFonts w:ascii="微软雅黑" w:cs="仿宋_GB2312" w:eastAsia="微软雅黑" w:hAnsi="微软雅黑" w:hint="default"/>
          <w:color w:val="000000"/>
          <w:sz w:val="24"/>
          <w:szCs w:val="21"/>
          <w:lang w:val="en-US"/>
        </w:rPr>
        <w:t>是</w:t>
      </w:r>
      <w:r>
        <w:rPr>
          <w:rFonts w:ascii="微软雅黑" w:cs="仿宋_GB2312" w:eastAsia="微软雅黑" w:hAnsi="微软雅黑" w:hint="eastAsia"/>
          <w:color w:val="000000"/>
          <w:sz w:val="24"/>
          <w:szCs w:val="21"/>
        </w:rPr>
        <w:t>安检检查标准</w:t>
      </w:r>
      <w:r>
        <w:rPr>
          <w:rFonts w:ascii="微软雅黑" w:cs="仿宋_GB2312" w:eastAsia="微软雅黑" w:hAnsi="微软雅黑" w:hint="default"/>
          <w:color w:val="000000"/>
          <w:sz w:val="24"/>
          <w:szCs w:val="21"/>
          <w:lang w:val="en-US"/>
        </w:rPr>
        <w:t>执行</w:t>
      </w:r>
      <w:r>
        <w:rPr>
          <w:rFonts w:ascii="微软雅黑" w:cs="仿宋_GB2312" w:eastAsia="微软雅黑" w:hAnsi="微软雅黑" w:hint="eastAsia"/>
          <w:color w:val="000000"/>
          <w:sz w:val="24"/>
          <w:szCs w:val="21"/>
        </w:rPr>
        <w:t>不一致，其次是检查机器脏。部分人流量大的车站在早晚高峰的安检排队时间较久，影响了乘客体验。从不同时段的乘客评价来看，早高峰和晚高峰的安检满意度比平峰低，工作日的安检满意度比周末和节假日低。希望</w:t>
      </w:r>
      <w:r>
        <w:rPr>
          <w:rFonts w:ascii="微软雅黑" w:cs="仿宋_GB2312" w:eastAsia="微软雅黑" w:hAnsi="微软雅黑" w:hint="default"/>
          <w:color w:val="000000"/>
          <w:sz w:val="24"/>
          <w:szCs w:val="21"/>
          <w:lang w:val="en-US"/>
        </w:rPr>
        <w:t>轨道交通运营企业</w:t>
      </w:r>
      <w:r>
        <w:rPr>
          <w:rFonts w:ascii="微软雅黑" w:cs="仿宋_GB2312" w:eastAsia="微软雅黑" w:hAnsi="微软雅黑" w:hint="eastAsia"/>
          <w:color w:val="000000"/>
          <w:sz w:val="24"/>
          <w:szCs w:val="21"/>
        </w:rPr>
        <w:t>一方面要做好</w:t>
      </w:r>
      <w:r>
        <w:rPr>
          <w:rFonts w:ascii="微软雅黑" w:cs="仿宋_GB2312" w:eastAsia="微软雅黑" w:hAnsi="微软雅黑" w:hint="eastAsia"/>
          <w:color w:val="000000"/>
          <w:sz w:val="24"/>
          <w:szCs w:val="21"/>
        </w:rPr>
        <w:t>安检</w:t>
      </w:r>
      <w:r>
        <w:rPr>
          <w:rFonts w:ascii="微软雅黑" w:cs="仿宋_GB2312" w:eastAsia="微软雅黑" w:hAnsi="微软雅黑" w:hint="eastAsia"/>
          <w:color w:val="000000"/>
          <w:sz w:val="24"/>
          <w:szCs w:val="21"/>
        </w:rPr>
        <w:t>标准的宣贯，</w:t>
      </w:r>
      <w:r>
        <w:rPr>
          <w:rFonts w:ascii="微软雅黑" w:cs="仿宋_GB2312" w:eastAsia="微软雅黑" w:hAnsi="微软雅黑" w:hint="default"/>
          <w:color w:val="000000"/>
          <w:sz w:val="24"/>
          <w:szCs w:val="21"/>
          <w:lang w:val="en-US"/>
        </w:rPr>
        <w:t>增强</w:t>
      </w:r>
      <w:r>
        <w:rPr>
          <w:rFonts w:ascii="微软雅黑" w:cs="仿宋_GB2312" w:eastAsia="微软雅黑" w:hAnsi="微软雅黑" w:hint="eastAsia"/>
          <w:color w:val="000000"/>
          <w:sz w:val="24"/>
          <w:szCs w:val="21"/>
        </w:rPr>
        <w:t>一线执行的一致性</w:t>
      </w:r>
      <w:r>
        <w:rPr>
          <w:rFonts w:ascii="微软雅黑" w:cs="仿宋_GB2312" w:eastAsia="微软雅黑" w:hAnsi="微软雅黑" w:hint="eastAsia"/>
          <w:color w:val="000000"/>
          <w:sz w:val="24"/>
          <w:szCs w:val="21"/>
        </w:rPr>
        <w:t>，</w:t>
      </w:r>
      <w:r>
        <w:rPr>
          <w:rFonts w:ascii="微软雅黑" w:cs="仿宋_GB2312" w:eastAsia="微软雅黑" w:hAnsi="微软雅黑" w:hint="eastAsia"/>
          <w:color w:val="000000"/>
          <w:sz w:val="24"/>
          <w:szCs w:val="21"/>
        </w:rPr>
        <w:t>另一方面要在安检细节上为乘客提供便利、减少顾虑，提高乘客的配合度，如设置无包通道、主动帮忙放置大件行李、做好安检机的清洁等。</w:t>
      </w:r>
    </w:p>
    <w:bookmarkEnd w:id="1"/>
    <w:p w14:paraId="B087B7BB">
      <w:pPr>
        <w:pStyle w:val="style82"/>
        <w:snapToGrid w:val="false"/>
        <w:spacing w:afterLines="50" w:lineRule="auto" w:line="360"/>
        <w:ind w:firstLine="482" w:firstLineChars="201"/>
        <w:jc w:val="left"/>
        <w:rPr>
          <w:rFonts w:ascii="微软雅黑" w:cs="仿宋_GB2312" w:eastAsia="微软雅黑" w:hAnsi="微软雅黑"/>
          <w:sz w:val="24"/>
          <w:szCs w:val="21"/>
        </w:rPr>
      </w:pPr>
    </w:p>
    <w:sectPr>
      <w:pgSz w:w="11906" w:h="16838" w:orient="portrait"/>
      <w:pgMar w:top="1247" w:right="1797" w:bottom="1247" w:left="1797"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10002FF" w:usb1="4000ACFF" w:usb2="00000009" w:usb3="00000000" w:csb0="0000019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AFF" w:usb1="C0007841" w:usb2="00000009" w:usb3="00000000" w:csb0="000001FF" w:csb1="00000000"/>
  </w:font>
  <w:font w:name="微软雅黑">
    <w:altName w:val="微软雅黑"/>
    <w:panose1 w:val="020b0503020002020204"/>
    <w:charset w:val="86"/>
    <w:family w:val="swiss"/>
    <w:pitch w:val="variable"/>
    <w:sig w:usb0="80000287" w:usb1="280F3C52" w:usb2="00000016" w:usb3="00000000" w:csb0="0004001F" w:csb1="00000000"/>
  </w:font>
  <w:font w:name="Cambria">
    <w:altName w:val="Cambria"/>
    <w:panose1 w:val="02040503050004030204"/>
    <w:charset w:val="00"/>
    <w:family w:val="roman"/>
    <w:pitch w:val="variable"/>
    <w:sig w:usb0="E00002FF" w:usb1="400004FF" w:usb2="00000000" w:usb3="00000000" w:csb0="0000019F" w:csb1="00000000"/>
  </w:font>
  <w:font w:name="仿宋_GB2312">
    <w:altName w:val="仿宋"/>
    <w:panose1 w:val="02010609030001010101"/>
    <w:charset w:val="86"/>
    <w:family w:val="modern"/>
    <w:pitch w:val="fixed"/>
    <w:sig w:usb0="00000001" w:usb1="080E0000" w:usb2="00000010" w:usb3="00000000" w:csb0="00040000" w:csb1="00000000"/>
  </w:font>
  <w:font w:name="Courier New">
    <w:altName w:val="Courier New"/>
    <w:panose1 w:val="02070309020002020404"/>
    <w:charset w:val="00"/>
    <w:family w:val="modern"/>
    <w:pitch w:val="fixed"/>
    <w:sig w:usb0="E0002AFF" w:usb1="C0007843" w:usb2="00000009" w:usb3="00000000" w:csb0="000001FF" w:csb1="00000000"/>
  </w:font>
  <w:font w:name="等线 Light">
    <w:altName w:val="Arial Unicode MS"/>
    <w:panose1 w:val="00000000000000000000"/>
    <w:charset w:val="86"/>
    <w:family w:val="auto"/>
    <w:pitch w:val="variable"/>
    <w:sig w:usb0="00000000" w:usb1="38CF7CFA" w:usb2="00000016" w:usb3="00000000" w:csb0="0004000F" w:csb1="00000000"/>
  </w:font>
  <w:font w:name="等线">
    <w:altName w:val="DengXian"/>
    <w:panose1 w:val="00000000000000000000"/>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attachedTemplate r:id="rId1"/>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widowControl w:val="false"/>
      <w:jc w:val="both"/>
    </w:pPr>
    <w:rPr>
      <w:kern w:val="2"/>
      <w:sz w:val="21"/>
      <w:szCs w:val="22"/>
    </w:rPr>
  </w:style>
  <w:style w:type="paragraph" w:styleId="style1">
    <w:name w:val="heading 1"/>
    <w:basedOn w:val="style0"/>
    <w:next w:val="style0"/>
    <w:link w:val="style4097"/>
    <w:qFormat/>
    <w:uiPriority w:val="9"/>
    <w:pPr>
      <w:keepNext/>
      <w:keepLines/>
      <w:spacing w:lineRule="auto" w:line="360"/>
      <w:outlineLvl w:val="0"/>
    </w:pPr>
    <w:rPr>
      <w:rFonts w:ascii="微软雅黑" w:eastAsia="微软雅黑" w:hAnsi="微软雅黑"/>
      <w:b/>
      <w:bCs/>
      <w:kern w:val="44"/>
      <w:sz w:val="28"/>
      <w:szCs w:val="44"/>
    </w:rPr>
  </w:style>
  <w:style w:type="paragraph" w:styleId="style2">
    <w:name w:val="heading 2"/>
    <w:basedOn w:val="style0"/>
    <w:next w:val="style0"/>
    <w:link w:val="style4098"/>
    <w:qFormat/>
    <w:uiPriority w:val="9"/>
    <w:pPr>
      <w:keepNext/>
      <w:keepLines/>
      <w:spacing w:afterLines="50" w:lineRule="auto" w:line="360"/>
      <w:outlineLvl w:val="1"/>
    </w:pPr>
    <w:rPr>
      <w:rFonts w:ascii="Cambria" w:hAnsi="Cambria"/>
      <w:b/>
      <w:bCs/>
      <w:kern w:val="0"/>
      <w:sz w:val="24"/>
      <w:szCs w:val="32"/>
    </w:rPr>
  </w:style>
  <w:style w:type="paragraph" w:styleId="style3">
    <w:name w:val="heading 3"/>
    <w:basedOn w:val="style0"/>
    <w:next w:val="style0"/>
    <w:link w:val="style4099"/>
    <w:qFormat/>
    <w:pPr>
      <w:keepNext/>
      <w:keepLines/>
      <w:spacing w:before="260" w:after="260" w:lineRule="auto" w:line="416"/>
      <w:outlineLvl w:val="2"/>
    </w:pPr>
    <w:rPr>
      <w:b/>
      <w:bCs/>
      <w:kern w:val="0"/>
      <w:sz w:val="32"/>
      <w:szCs w:val="32"/>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标题 1 Char"/>
    <w:next w:val="style4097"/>
    <w:link w:val="style1"/>
    <w:uiPriority w:val="9"/>
    <w:rPr>
      <w:rFonts w:ascii="微软雅黑" w:eastAsia="微软雅黑" w:hAnsi="微软雅黑"/>
      <w:b/>
      <w:bCs/>
      <w:kern w:val="44"/>
      <w:sz w:val="28"/>
      <w:szCs w:val="44"/>
    </w:rPr>
  </w:style>
  <w:style w:type="character" w:customStyle="1" w:styleId="style4098">
    <w:name w:val="标题 2 Char"/>
    <w:next w:val="style4098"/>
    <w:link w:val="style2"/>
    <w:uiPriority w:val="9"/>
    <w:rPr>
      <w:rFonts w:ascii="Cambria" w:cs="Times New Roman" w:eastAsia="宋体" w:hAnsi="Cambria"/>
      <w:b/>
      <w:bCs/>
      <w:sz w:val="24"/>
      <w:szCs w:val="32"/>
    </w:rPr>
  </w:style>
  <w:style w:type="character" w:customStyle="1" w:styleId="style4099">
    <w:name w:val="标题 3 Char"/>
    <w:next w:val="style4099"/>
    <w:link w:val="style3"/>
    <w:rPr>
      <w:b/>
      <w:bCs/>
      <w:sz w:val="32"/>
      <w:szCs w:val="32"/>
    </w:rPr>
  </w:style>
  <w:style w:type="paragraph" w:styleId="style89">
    <w:name w:val="Document Map"/>
    <w:basedOn w:val="style0"/>
    <w:next w:val="style89"/>
    <w:link w:val="style4100"/>
    <w:uiPriority w:val="99"/>
    <w:pPr/>
    <w:rPr>
      <w:rFonts w:ascii="宋体"/>
      <w:kern w:val="0"/>
      <w:sz w:val="18"/>
      <w:szCs w:val="18"/>
    </w:rPr>
  </w:style>
  <w:style w:type="character" w:customStyle="1" w:styleId="style4100">
    <w:name w:val="文档结构图 Char"/>
    <w:next w:val="style4100"/>
    <w:link w:val="style89"/>
    <w:uiPriority w:val="99"/>
    <w:rPr>
      <w:rFonts w:ascii="宋体" w:eastAsia="宋体"/>
      <w:sz w:val="18"/>
      <w:szCs w:val="18"/>
    </w:rPr>
  </w:style>
  <w:style w:type="paragraph" w:styleId="style30">
    <w:name w:val="annotation text"/>
    <w:basedOn w:val="style0"/>
    <w:next w:val="style30"/>
    <w:link w:val="style4101"/>
    <w:qFormat/>
    <w:uiPriority w:val="99"/>
    <w:pPr>
      <w:spacing w:after="160" w:lineRule="auto" w:line="259"/>
      <w:jc w:val="left"/>
    </w:pPr>
    <w:rPr>
      <w:rFonts w:ascii="Times New Roman" w:eastAsia="微软雅黑" w:hAnsi="Times New Roman"/>
      <w:szCs w:val="21"/>
    </w:rPr>
  </w:style>
  <w:style w:type="character" w:customStyle="1" w:styleId="style4101">
    <w:name w:val="批注文字 Char"/>
    <w:next w:val="style4101"/>
    <w:link w:val="style30"/>
    <w:qFormat/>
    <w:uiPriority w:val="99"/>
    <w:rPr>
      <w:rFonts w:ascii="Times New Roman" w:eastAsia="微软雅黑" w:hAnsi="Times New Roman"/>
      <w:kern w:val="2"/>
      <w:sz w:val="21"/>
      <w:szCs w:val="21"/>
    </w:rPr>
  </w:style>
  <w:style w:type="paragraph" w:styleId="style82">
    <w:name w:val="Body Text Indent 2"/>
    <w:basedOn w:val="style0"/>
    <w:next w:val="style82"/>
    <w:link w:val="style4102"/>
    <w:uiPriority w:val="99"/>
    <w:pPr>
      <w:spacing w:lineRule="exact" w:line="400"/>
      <w:ind w:firstLine="556"/>
    </w:pPr>
    <w:rPr>
      <w:rFonts w:ascii="Times New Roman" w:eastAsia="仿宋_GB2312" w:hAnsi="Times New Roman"/>
      <w:kern w:val="0"/>
      <w:sz w:val="28"/>
      <w:szCs w:val="28"/>
    </w:rPr>
  </w:style>
  <w:style w:type="character" w:customStyle="1" w:styleId="style4102">
    <w:name w:val="正文文本缩进 2 Char"/>
    <w:next w:val="style4102"/>
    <w:link w:val="style82"/>
    <w:uiPriority w:val="99"/>
    <w:rPr>
      <w:rFonts w:ascii="Times New Roman" w:cs="Times New Roman" w:eastAsia="仿宋_GB2312" w:hAnsi="Times New Roman"/>
      <w:sz w:val="28"/>
      <w:szCs w:val="28"/>
    </w:rPr>
  </w:style>
  <w:style w:type="paragraph" w:styleId="style153">
    <w:name w:val="Balloon Text"/>
    <w:basedOn w:val="style0"/>
    <w:next w:val="style153"/>
    <w:link w:val="style4103"/>
    <w:qFormat/>
    <w:uiPriority w:val="99"/>
    <w:pPr/>
    <w:rPr>
      <w:kern w:val="0"/>
      <w:sz w:val="18"/>
      <w:szCs w:val="18"/>
    </w:rPr>
  </w:style>
  <w:style w:type="character" w:customStyle="1" w:styleId="style4103">
    <w:name w:val="批注框文本 Char"/>
    <w:next w:val="style4103"/>
    <w:link w:val="style153"/>
    <w:qFormat/>
    <w:uiPriority w:val="99"/>
    <w:rPr>
      <w:sz w:val="18"/>
      <w:szCs w:val="18"/>
    </w:rPr>
  </w:style>
  <w:style w:type="paragraph" w:styleId="style32">
    <w:name w:val="footer"/>
    <w:basedOn w:val="style0"/>
    <w:next w:val="style32"/>
    <w:link w:val="style4104"/>
    <w:qFormat/>
    <w:uiPriority w:val="99"/>
    <w:pPr>
      <w:tabs>
        <w:tab w:val="center" w:leader="none" w:pos="4153"/>
        <w:tab w:val="right" w:leader="none" w:pos="8306"/>
      </w:tabs>
      <w:snapToGrid w:val="false"/>
      <w:jc w:val="left"/>
    </w:pPr>
    <w:rPr>
      <w:kern w:val="0"/>
      <w:sz w:val="18"/>
      <w:szCs w:val="18"/>
    </w:rPr>
  </w:style>
  <w:style w:type="character" w:customStyle="1" w:styleId="style4104">
    <w:name w:val="页脚 Char"/>
    <w:next w:val="style4104"/>
    <w:link w:val="style32"/>
    <w:qFormat/>
    <w:uiPriority w:val="99"/>
    <w:rPr>
      <w:sz w:val="18"/>
      <w:szCs w:val="18"/>
    </w:rPr>
  </w:style>
  <w:style w:type="paragraph" w:styleId="style31">
    <w:name w:val="header"/>
    <w:basedOn w:val="style0"/>
    <w:next w:val="style31"/>
    <w:link w:val="style4105"/>
    <w:uiPriority w:val="99"/>
    <w:pPr>
      <w:pBdr>
        <w:bottom w:val="single" w:sz="6" w:space="1" w:color="auto"/>
      </w:pBdr>
      <w:tabs>
        <w:tab w:val="center" w:leader="none" w:pos="4153"/>
        <w:tab w:val="right" w:leader="none" w:pos="8306"/>
      </w:tabs>
      <w:snapToGrid w:val="false"/>
      <w:jc w:val="center"/>
    </w:pPr>
    <w:rPr>
      <w:kern w:val="0"/>
      <w:sz w:val="18"/>
      <w:szCs w:val="18"/>
    </w:rPr>
  </w:style>
  <w:style w:type="character" w:customStyle="1" w:styleId="style4105">
    <w:name w:val="页眉 Char"/>
    <w:next w:val="style4105"/>
    <w:link w:val="style31"/>
    <w:uiPriority w:val="99"/>
    <w:rPr>
      <w:sz w:val="18"/>
      <w:szCs w:val="18"/>
    </w:rPr>
  </w:style>
  <w:style w:type="paragraph" w:styleId="style94">
    <w:name w:val="Normal (Web)"/>
    <w:basedOn w:val="style0"/>
    <w:next w:val="style94"/>
    <w:uiPriority w:val="99"/>
    <w:pPr>
      <w:widowControl/>
      <w:spacing w:before="100" w:beforeAutospacing="true" w:after="100" w:afterAutospacing="true"/>
      <w:jc w:val="left"/>
    </w:pPr>
    <w:rPr>
      <w:rFonts w:ascii="宋体" w:cs="宋体" w:eastAsia="微软雅黑" w:hAnsi="宋体"/>
      <w:kern w:val="0"/>
      <w:sz w:val="24"/>
      <w:szCs w:val="24"/>
    </w:rPr>
  </w:style>
  <w:style w:type="paragraph" w:styleId="style62">
    <w:name w:val="Title"/>
    <w:basedOn w:val="style0"/>
    <w:next w:val="style0"/>
    <w:link w:val="style4106"/>
    <w:qFormat/>
    <w:uiPriority w:val="10"/>
    <w:pPr>
      <w:spacing w:afterLines="100"/>
      <w:jc w:val="center"/>
      <w:outlineLvl w:val="0"/>
    </w:pPr>
    <w:rPr>
      <w:rFonts w:ascii="宋体" w:hAnsi="宋体"/>
      <w:b/>
      <w:bCs/>
      <w:kern w:val="0"/>
      <w:sz w:val="36"/>
      <w:szCs w:val="36"/>
    </w:rPr>
  </w:style>
  <w:style w:type="character" w:customStyle="1" w:styleId="style4106">
    <w:name w:val="标题 Char"/>
    <w:next w:val="style4106"/>
    <w:link w:val="style62"/>
    <w:uiPriority w:val="10"/>
    <w:rPr>
      <w:rFonts w:ascii="宋体" w:cs="Times New Roman" w:eastAsia="宋体" w:hAnsi="宋体"/>
      <w:b/>
      <w:bCs/>
      <w:sz w:val="36"/>
      <w:szCs w:val="36"/>
    </w:rPr>
  </w:style>
  <w:style w:type="table" w:styleId="style206">
    <w:name w:val="Light Grid Accent 3"/>
    <w:basedOn w:val="style105"/>
    <w:next w:val="style206"/>
    <w:uiPriority w:val="62"/>
    <w:pPr/>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Rule="auto" w:line="240"/>
      </w:pPr>
      <w:rPr>
        <w:rFonts w:cs="Courier New"/>
        <w:b/>
        <w:bCs/>
      </w:rPr>
      <w:tblPr/>
      <w:tcPr>
        <w:tcBorders>
          <w:tl2br w:val="nil"/>
          <w:tr2bl w:val="nil"/>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Rule="auto" w:line="240"/>
      </w:pPr>
      <w:rPr>
        <w:rFonts w:cs="Courier New"/>
        <w:b/>
        <w:bCs/>
      </w:rPr>
      <w:tblPr/>
      <w:tcPr>
        <w:tcBorders>
          <w:tl2br w:val="nil"/>
          <w:tr2bl w:val="nil"/>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band1Horz">
      <w:pPr/>
      <w:tblPr/>
      <w:tcPr>
        <w:tcBorders>
          <w:tl2br w:val="nil"/>
          <w:tr2bl w:val="nil"/>
          <w:top w:val="single" w:sz="8" w:space="0" w:color="9bbb59"/>
          <w:left w:val="single" w:sz="8" w:space="0" w:color="9bbb59"/>
          <w:bottom w:val="single" w:sz="8" w:space="0" w:color="9bbb59"/>
          <w:right w:val="single" w:sz="8" w:space="0" w:color="9bbb59"/>
          <w:insideH w:val="nil"/>
          <w:insideV w:val="single" w:sz="8" w:space="0" w:color="9bbb59"/>
        </w:tcBorders>
        <w:shd w:val="clear" w:color="auto" w:fill="e6eed5"/>
      </w:tcPr>
    </w:tblStylePr>
    <w:tblStylePr w:type="band2Horz">
      <w:pPr/>
      <w:tblPr/>
      <w:tcPr>
        <w:tcBorders>
          <w:tl2br w:val="nil"/>
          <w:tr2bl w:val="nil"/>
          <w:top w:val="single" w:sz="8" w:space="0" w:color="9bbb59"/>
          <w:left w:val="single" w:sz="8" w:space="0" w:color="9bbb59"/>
          <w:bottom w:val="single" w:sz="8" w:space="0" w:color="9bbb59"/>
          <w:right w:val="single" w:sz="8" w:space="0" w:color="9bbb59"/>
          <w:insideH w:val="nil"/>
          <w:insideV w:val="single" w:sz="8" w:space="0" w:color="9bbb59"/>
        </w:tcBorders>
      </w:tcPr>
    </w:tblStylePr>
    <w:tblStylePr w:type="firstCol">
      <w:pPr/>
      <w:rPr>
        <w:rFonts w:cs="Courier New"/>
        <w:b/>
        <w:bCs/>
      </w:rPr>
      <w:tcPr>
        <w:tcBorders/>
      </w:tcPr>
    </w:tblStylePr>
    <w:tblStylePr w:type="lastCol">
      <w:pPr/>
      <w:rPr>
        <w:rFonts w:cs="Courier New"/>
        <w:b/>
        <w:bCs/>
      </w:rPr>
      <w:tblPr/>
      <w:tcPr>
        <w:tcBorders>
          <w:tl2br w:val="nil"/>
          <w:tr2bl w:val="nil"/>
          <w:top w:val="single" w:sz="8" w:space="0" w:color="9bbb59"/>
          <w:left w:val="single" w:sz="8" w:space="0" w:color="9bbb59"/>
          <w:bottom w:val="single" w:sz="8" w:space="0" w:color="9bbb59"/>
          <w:right w:val="single" w:sz="8" w:space="0" w:color="9bbb59"/>
          <w:insideH w:val="nil"/>
          <w:insideV w:val="nil"/>
        </w:tcBorders>
      </w:tcPr>
    </w:tblStylePr>
    <w:tblStylePr w:type="band1Vert">
      <w:pPr/>
      <w:tblPr/>
      <w:tcPr>
        <w:tcBorders>
          <w:tl2br w:val="nil"/>
          <w:tr2bl w:val="nil"/>
          <w:top w:val="single" w:sz="8" w:space="0" w:color="9bbb59"/>
          <w:left w:val="single" w:sz="8" w:space="0" w:color="9bbb59"/>
          <w:bottom w:val="single" w:sz="8" w:space="0" w:color="9bbb59"/>
          <w:right w:val="single" w:sz="8" w:space="0" w:color="9bbb59"/>
          <w:insideH w:val="nil"/>
          <w:insideV w:val="nil"/>
        </w:tcBorders>
        <w:shd w:val="clear" w:color="auto" w:fill="e6eed5"/>
      </w:tcPr>
    </w:tblStylePr>
    <w:tcPr>
      <w:tcBorders/>
    </w:tcPr>
  </w:style>
  <w:style w:type="table" w:styleId="style234">
    <w:name w:val="Light Grid Accent 5"/>
    <w:basedOn w:val="style105"/>
    <w:next w:val="style234"/>
    <w:uiPriority w:val="62"/>
    <w:pPr/>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Rule="auto" w:line="240"/>
      </w:pPr>
      <w:rPr>
        <w:rFonts w:cs="Courier New"/>
        <w:b/>
        <w:bCs/>
      </w:rPr>
      <w:tblPr/>
      <w:tcPr>
        <w:tcBorders>
          <w:tl2br w:val="nil"/>
          <w:tr2bl w:val="nil"/>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Rule="auto" w:line="240"/>
      </w:pPr>
      <w:rPr>
        <w:rFonts w:cs="Courier New"/>
        <w:b/>
        <w:bCs/>
      </w:rPr>
      <w:tblPr/>
      <w:tcPr>
        <w:tcBorders>
          <w:tl2br w:val="nil"/>
          <w:tr2bl w:val="nil"/>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band1Horz">
      <w:pPr/>
      <w:tblPr/>
      <w:tcPr>
        <w:tcBorders>
          <w:tl2br w:val="nil"/>
          <w:tr2bl w:val="nil"/>
          <w:top w:val="single" w:sz="8" w:space="0" w:color="4bacc6"/>
          <w:left w:val="single" w:sz="8" w:space="0" w:color="4bacc6"/>
          <w:bottom w:val="single" w:sz="8" w:space="0" w:color="4bacc6"/>
          <w:right w:val="single" w:sz="8" w:space="0" w:color="4bacc6"/>
          <w:insideH w:val="nil"/>
          <w:insideV w:val="single" w:sz="8" w:space="0" w:color="4bacc6"/>
        </w:tcBorders>
        <w:shd w:val="clear" w:color="auto" w:fill="d2eaf1"/>
      </w:tcPr>
    </w:tblStylePr>
    <w:tblStylePr w:type="band2Horz">
      <w:pPr/>
      <w:tblPr/>
      <w:tcPr>
        <w:tcBorders>
          <w:tl2br w:val="nil"/>
          <w:tr2bl w:val="nil"/>
          <w:top w:val="single" w:sz="8" w:space="0" w:color="4bacc6"/>
          <w:left w:val="single" w:sz="8" w:space="0" w:color="4bacc6"/>
          <w:bottom w:val="single" w:sz="8" w:space="0" w:color="4bacc6"/>
          <w:right w:val="single" w:sz="8" w:space="0" w:color="4bacc6"/>
          <w:insideH w:val="nil"/>
          <w:insideV w:val="single" w:sz="8" w:space="0" w:color="4bacc6"/>
        </w:tcBorders>
      </w:tcPr>
    </w:tblStylePr>
    <w:tblStylePr w:type="firstCol">
      <w:pPr/>
      <w:rPr>
        <w:rFonts w:cs="Courier New"/>
        <w:b/>
        <w:bCs/>
      </w:rPr>
      <w:tcPr>
        <w:tcBorders/>
      </w:tcPr>
    </w:tblStylePr>
    <w:tblStylePr w:type="lastCol">
      <w:pPr/>
      <w:rPr>
        <w:rFonts w:cs="Courier New"/>
        <w:b/>
        <w:bCs/>
      </w:rPr>
      <w:tblPr/>
      <w:tcPr>
        <w:tcBorders>
          <w:tl2br w:val="nil"/>
          <w:tr2bl w:val="nil"/>
          <w:top w:val="single" w:sz="8" w:space="0" w:color="4bacc6"/>
          <w:left w:val="single" w:sz="8" w:space="0" w:color="4bacc6"/>
          <w:bottom w:val="single" w:sz="8" w:space="0" w:color="4bacc6"/>
          <w:right w:val="single" w:sz="8" w:space="0" w:color="4bacc6"/>
          <w:insideH w:val="nil"/>
          <w:insideV w:val="nil"/>
        </w:tcBorders>
      </w:tcPr>
    </w:tblStylePr>
    <w:tblStylePr w:type="band1Vert">
      <w:pPr/>
      <w:tblPr/>
      <w:tcPr>
        <w:tcBorders>
          <w:tl2br w:val="nil"/>
          <w:tr2bl w:val="nil"/>
          <w:top w:val="single" w:sz="8" w:space="0" w:color="4bacc6"/>
          <w:left w:val="single" w:sz="8" w:space="0" w:color="4bacc6"/>
          <w:bottom w:val="single" w:sz="8" w:space="0" w:color="4bacc6"/>
          <w:right w:val="single" w:sz="8" w:space="0" w:color="4bacc6"/>
          <w:insideH w:val="nil"/>
          <w:insideV w:val="nil"/>
        </w:tcBorders>
        <w:shd w:val="clear" w:color="auto" w:fill="d2eaf1"/>
      </w:tcPr>
    </w:tblStylePr>
    <w:tcPr>
      <w:tcBorders/>
    </w:tcPr>
  </w:style>
  <w:style w:type="table" w:styleId="style248">
    <w:name w:val="Light Grid Accent 6"/>
    <w:basedOn w:val="style105"/>
    <w:next w:val="style248"/>
    <w:uiPriority w:val="62"/>
    <w:pPr/>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Rule="auto" w:line="240"/>
      </w:pPr>
      <w:rPr>
        <w:rFonts w:cs="Courier New"/>
        <w:b/>
        <w:bCs/>
      </w:rPr>
      <w:tblPr/>
      <w:tcPr>
        <w:tcBorders>
          <w:tl2br w:val="nil"/>
          <w:tr2bl w:val="nil"/>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Rule="auto" w:line="240"/>
      </w:pPr>
      <w:rPr>
        <w:rFonts w:cs="Courier New"/>
        <w:b/>
        <w:bCs/>
      </w:rPr>
      <w:tblPr/>
      <w:tcPr>
        <w:tcBorders>
          <w:tl2br w:val="nil"/>
          <w:tr2bl w:val="nil"/>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band1Horz">
      <w:pPr/>
      <w:tblPr/>
      <w:tcPr>
        <w:tcBorders>
          <w:tl2br w:val="nil"/>
          <w:tr2bl w:val="nil"/>
          <w:top w:val="single" w:sz="8" w:space="0" w:color="f79646"/>
          <w:left w:val="single" w:sz="8" w:space="0" w:color="f79646"/>
          <w:bottom w:val="single" w:sz="8" w:space="0" w:color="f79646"/>
          <w:right w:val="single" w:sz="8" w:space="0" w:color="f79646"/>
          <w:insideH w:val="nil"/>
          <w:insideV w:val="single" w:sz="8" w:space="0" w:color="f79646"/>
        </w:tcBorders>
        <w:shd w:val="clear" w:color="auto" w:fill="fde4d0"/>
      </w:tcPr>
    </w:tblStylePr>
    <w:tblStylePr w:type="band2Horz">
      <w:pPr/>
      <w:tblPr/>
      <w:tcPr>
        <w:tcBorders>
          <w:tl2br w:val="nil"/>
          <w:tr2bl w:val="nil"/>
          <w:top w:val="single" w:sz="8" w:space="0" w:color="f79646"/>
          <w:left w:val="single" w:sz="8" w:space="0" w:color="f79646"/>
          <w:bottom w:val="single" w:sz="8" w:space="0" w:color="f79646"/>
          <w:right w:val="single" w:sz="8" w:space="0" w:color="f79646"/>
          <w:insideH w:val="nil"/>
          <w:insideV w:val="single" w:sz="8" w:space="0" w:color="f79646"/>
        </w:tcBorders>
      </w:tcPr>
    </w:tblStylePr>
    <w:tblStylePr w:type="firstCol">
      <w:pPr/>
      <w:rPr>
        <w:rFonts w:cs="Courier New"/>
        <w:b/>
        <w:bCs/>
      </w:rPr>
      <w:tcPr>
        <w:tcBorders/>
      </w:tcPr>
    </w:tblStylePr>
    <w:tblStylePr w:type="lastCol">
      <w:pPr/>
      <w:rPr>
        <w:rFonts w:cs="Courier New"/>
        <w:b/>
        <w:bCs/>
      </w:rPr>
      <w:tblPr/>
      <w:tcPr>
        <w:tcBorders>
          <w:tl2br w:val="nil"/>
          <w:tr2bl w:val="nil"/>
          <w:top w:val="single" w:sz="8" w:space="0" w:color="f79646"/>
          <w:left w:val="single" w:sz="8" w:space="0" w:color="f79646"/>
          <w:bottom w:val="single" w:sz="8" w:space="0" w:color="f79646"/>
          <w:right w:val="single" w:sz="8" w:space="0" w:color="f79646"/>
          <w:insideH w:val="nil"/>
          <w:insideV w:val="nil"/>
        </w:tcBorders>
      </w:tcPr>
    </w:tblStylePr>
    <w:tblStylePr w:type="band1Vert">
      <w:pPr/>
      <w:tblPr/>
      <w:tcPr>
        <w:tcBorders>
          <w:tl2br w:val="nil"/>
          <w:tr2bl w:val="nil"/>
          <w:top w:val="single" w:sz="8" w:space="0" w:color="f79646"/>
          <w:left w:val="single" w:sz="8" w:space="0" w:color="f79646"/>
          <w:bottom w:val="single" w:sz="8" w:space="0" w:color="f79646"/>
          <w:right w:val="single" w:sz="8" w:space="0" w:color="f79646"/>
          <w:insideH w:val="nil"/>
          <w:insideV w:val="nil"/>
        </w:tcBorders>
        <w:shd w:val="clear" w:color="auto" w:fill="fde4d0"/>
      </w:tcPr>
    </w:tblStylePr>
    <w:tcPr>
      <w:tcBorders/>
    </w:tcPr>
  </w:style>
  <w:style w:type="table" w:styleId="style213">
    <w:name w:val="Medium Grid 3 Accent 3"/>
    <w:basedOn w:val="style105"/>
    <w:next w:val="style213"/>
    <w:uiPriority w:val="69"/>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CellMar>
        <w:top w:w="0" w:type="dxa"/>
        <w:left w:w="108" w:type="dxa"/>
        <w:bottom w:w="0" w:type="dxa"/>
        <w:right w:w="108" w:type="dxa"/>
      </w:tblCellMar>
    </w:tblPr>
    <w:tblStylePr w:type="firstRow">
      <w:pPr/>
      <w:rPr>
        <w:b/>
        <w:bCs/>
        <w:i w:val="false"/>
        <w:iCs w:val="false"/>
        <w:color w:val="ffffff"/>
      </w:rPr>
      <w:tblPr/>
      <w:tcPr>
        <w:tcBorders>
          <w:tl2br w:val="nil"/>
          <w:tr2bl w:val="nil"/>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pPr/>
      <w:rPr>
        <w:b/>
        <w:bCs/>
        <w:i w:val="false"/>
        <w:iCs w:val="false"/>
        <w:color w:val="ffffff"/>
      </w:rPr>
      <w:tblPr/>
      <w:tcPr>
        <w:tcBorders>
          <w:tl2br w:val="nil"/>
          <w:tr2bl w:val="nil"/>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band1Horz">
      <w:pPr/>
      <w:tblPr/>
      <w:tcPr>
        <w:tcBorders>
          <w:tl2br w:val="nil"/>
          <w:tr2bl w:val="nil"/>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firstCol">
      <w:pPr/>
      <w:rPr>
        <w:b/>
        <w:bCs/>
        <w:i w:val="false"/>
        <w:iCs w:val="false"/>
        <w:color w:val="ffffff"/>
      </w:rPr>
      <w:tblPr/>
      <w:tcPr>
        <w:tcBorders>
          <w:tl2br w:val="nil"/>
          <w:tr2bl w:val="nil"/>
          <w:top w:val="nil"/>
          <w:left w:val="single" w:sz="8" w:space="0" w:color="ffffff"/>
          <w:bottom w:val="nil"/>
          <w:right w:val="single" w:sz="24" w:space="0" w:color="ffffff"/>
          <w:insideH w:val="nil"/>
          <w:insideV w:val="nil"/>
        </w:tcBorders>
        <w:shd w:val="clear" w:color="auto" w:fill="9bbb59"/>
      </w:tcPr>
    </w:tblStylePr>
    <w:tblStylePr w:type="lastCol">
      <w:pPr/>
      <w:rPr>
        <w:b/>
        <w:bCs/>
        <w:i w:val="false"/>
        <w:iCs w:val="false"/>
        <w:color w:val="ffffff"/>
      </w:rPr>
      <w:tblPr/>
      <w:tcPr>
        <w:tcBorders>
          <w:tl2br w:val="nil"/>
          <w:tr2bl w:val="nil"/>
          <w:top w:val="nil"/>
          <w:left w:val="single" w:sz="24" w:space="0" w:color="ffffff"/>
          <w:bottom w:val="nil"/>
          <w:right w:val="nil"/>
          <w:insideH w:val="nil"/>
          <w:insideV w:val="nil"/>
        </w:tcBorders>
        <w:shd w:val="clear" w:color="auto" w:fill="9bbb59"/>
      </w:tcPr>
    </w:tblStylePr>
    <w:tblStylePr w:type="band1Vert">
      <w:pPr/>
      <w:tblPr/>
      <w:tcPr>
        <w:tcBorders>
          <w:tl2br w:val="nil"/>
          <w:tr2bl w:val="nil"/>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paragraph" w:customStyle="1" w:styleId="style4107">
    <w:name w:val="列出段落1"/>
    <w:basedOn w:val="style0"/>
    <w:next w:val="style4107"/>
    <w:qFormat/>
    <w:uiPriority w:val="34"/>
    <w:pPr>
      <w:ind w:firstLine="420" w:firstLineChars="200"/>
    </w:pPr>
    <w:rPr/>
  </w:style>
  <w:style w:type="table" w:customStyle="1" w:styleId="style4108">
    <w:name w:val="浅色网格 - 强调文字颜色 11"/>
    <w:basedOn w:val="style105"/>
    <w:next w:val="style4108"/>
    <w:uiPriority w:val="62"/>
    <w:pPr/>
    <w:rPr/>
    <w:tblPr>
      <w:tblStyleRowBandSize w:val="1"/>
      <w:tblStyleColBandSize w:val="1"/>
      <w:tblInd w:w="0" w:type="dxa"/>
      <w:tblBorders>
        <w:top w:val="single" w:sz="8" w:space="0" w:color="7fd13b"/>
        <w:left w:val="single" w:sz="8" w:space="0" w:color="7fd13b"/>
        <w:bottom w:val="single" w:sz="8" w:space="0" w:color="7fd13b"/>
        <w:right w:val="single" w:sz="8" w:space="0" w:color="7fd13b"/>
        <w:insideH w:val="single" w:sz="8" w:space="0" w:color="7fd13b"/>
        <w:insideV w:val="single" w:sz="8" w:space="0" w:color="7fd13b"/>
      </w:tblBorders>
      <w:tblCellMar>
        <w:top w:w="0" w:type="dxa"/>
        <w:left w:w="108" w:type="dxa"/>
        <w:bottom w:w="0" w:type="dxa"/>
        <w:right w:w="108" w:type="dxa"/>
      </w:tblCellMar>
    </w:tblPr>
    <w:tblStylePr w:type="firstRow">
      <w:pPr>
        <w:spacing w:before="0" w:after="0" w:lineRule="auto" w:line="240"/>
      </w:pPr>
      <w:rPr>
        <w:rFonts w:cs="Courier New"/>
        <w:b/>
        <w:bCs/>
      </w:rPr>
      <w:tblPr/>
      <w:tcPr>
        <w:tcBorders>
          <w:tl2br w:val="nil"/>
          <w:tr2bl w:val="nil"/>
          <w:top w:val="single" w:sz="8" w:space="0" w:color="7fd13b"/>
          <w:left w:val="single" w:sz="8" w:space="0" w:color="7fd13b"/>
          <w:bottom w:val="single" w:sz="18" w:space="0" w:color="7fd13b"/>
          <w:right w:val="single" w:sz="8" w:space="0" w:color="7fd13b"/>
          <w:insideH w:val="nil"/>
          <w:insideV w:val="single" w:sz="8" w:space="0" w:color="7fd13b"/>
        </w:tcBorders>
      </w:tcPr>
    </w:tblStylePr>
    <w:tblStylePr w:type="lastRow">
      <w:pPr>
        <w:spacing w:before="0" w:after="0" w:lineRule="auto" w:line="240"/>
      </w:pPr>
      <w:rPr>
        <w:rFonts w:cs="Courier New"/>
        <w:b/>
        <w:bCs/>
      </w:rPr>
      <w:tblPr/>
      <w:tcPr>
        <w:tcBorders>
          <w:tl2br w:val="nil"/>
          <w:tr2bl w:val="nil"/>
          <w:top w:val="double" w:sz="6" w:space="0" w:color="7fd13b"/>
          <w:left w:val="single" w:sz="8" w:space="0" w:color="7fd13b"/>
          <w:bottom w:val="single" w:sz="8" w:space="0" w:color="7fd13b"/>
          <w:right w:val="single" w:sz="8" w:space="0" w:color="7fd13b"/>
          <w:insideH w:val="nil"/>
          <w:insideV w:val="single" w:sz="8" w:space="0" w:color="7fd13b"/>
        </w:tcBorders>
      </w:tcPr>
    </w:tblStylePr>
    <w:tblStylePr w:type="band1Horz">
      <w:pPr/>
      <w:tblPr/>
      <w:tcPr>
        <w:tcBorders>
          <w:tl2br w:val="nil"/>
          <w:tr2bl w:val="nil"/>
          <w:top w:val="single" w:sz="8" w:space="0" w:color="7fd13b"/>
          <w:left w:val="single" w:sz="8" w:space="0" w:color="7fd13b"/>
          <w:bottom w:val="single" w:sz="8" w:space="0" w:color="7fd13b"/>
          <w:right w:val="single" w:sz="8" w:space="0" w:color="7fd13b"/>
          <w:insideH w:val="nil"/>
          <w:insideV w:val="single" w:sz="8" w:space="0" w:color="7fd13b"/>
        </w:tcBorders>
        <w:shd w:val="clear" w:color="auto" w:fill="dff3ce"/>
      </w:tcPr>
    </w:tblStylePr>
    <w:tblStylePr w:type="band2Horz">
      <w:pPr/>
      <w:tblPr/>
      <w:tcPr>
        <w:tcBorders>
          <w:tl2br w:val="nil"/>
          <w:tr2bl w:val="nil"/>
          <w:top w:val="single" w:sz="8" w:space="0" w:color="7fd13b"/>
          <w:left w:val="single" w:sz="8" w:space="0" w:color="7fd13b"/>
          <w:bottom w:val="single" w:sz="8" w:space="0" w:color="7fd13b"/>
          <w:right w:val="single" w:sz="8" w:space="0" w:color="7fd13b"/>
          <w:insideH w:val="nil"/>
          <w:insideV w:val="single" w:sz="8" w:space="0" w:color="7fd13b"/>
        </w:tcBorders>
      </w:tcPr>
    </w:tblStylePr>
    <w:tblStylePr w:type="firstCol">
      <w:pPr/>
      <w:rPr>
        <w:rFonts w:cs="Courier New"/>
        <w:b/>
        <w:bCs/>
      </w:rPr>
      <w:tcPr>
        <w:tcBorders/>
      </w:tcPr>
    </w:tblStylePr>
    <w:tblStylePr w:type="lastCol">
      <w:pPr/>
      <w:rPr>
        <w:rFonts w:cs="Courier New"/>
        <w:b/>
        <w:bCs/>
      </w:rPr>
      <w:tblPr/>
      <w:tcPr>
        <w:tcBorders>
          <w:tl2br w:val="nil"/>
          <w:tr2bl w:val="nil"/>
          <w:top w:val="single" w:sz="8" w:space="0" w:color="7fd13b"/>
          <w:left w:val="single" w:sz="8" w:space="0" w:color="7fd13b"/>
          <w:bottom w:val="single" w:sz="8" w:space="0" w:color="7fd13b"/>
          <w:right w:val="single" w:sz="8" w:space="0" w:color="7fd13b"/>
          <w:insideH w:val="nil"/>
          <w:insideV w:val="nil"/>
        </w:tcBorders>
      </w:tcPr>
    </w:tblStylePr>
    <w:tblStylePr w:type="band1Vert">
      <w:pPr/>
      <w:tblPr/>
      <w:tcPr>
        <w:tcBorders>
          <w:tl2br w:val="nil"/>
          <w:tr2bl w:val="nil"/>
          <w:top w:val="single" w:sz="8" w:space="0" w:color="7fd13b"/>
          <w:left w:val="single" w:sz="8" w:space="0" w:color="7fd13b"/>
          <w:bottom w:val="single" w:sz="8" w:space="0" w:color="7fd13b"/>
          <w:right w:val="single" w:sz="8" w:space="0" w:color="7fd13b"/>
          <w:insideH w:val="nil"/>
          <w:insideV w:val="nil"/>
        </w:tcBorders>
        <w:shd w:val="clear" w:color="auto" w:fill="dff3ce"/>
      </w:tcPr>
    </w:tblStylePr>
    <w:tcPr>
      <w:tcBorders/>
    </w:tcPr>
  </w:style>
  <w:style w:type="table" w:customStyle="1" w:styleId="style4109">
    <w:name w:val="浅色网格 - 强调文字颜色 111"/>
    <w:basedOn w:val="style105"/>
    <w:next w:val="style4109"/>
    <w:uiPriority w:val="62"/>
    <w:pPr/>
    <w:rPr/>
    <w:tblPr>
      <w:tblStyleRowBandSize w:val="1"/>
      <w:tblStyleColBandSize w:val="1"/>
      <w:tblInd w:w="0" w:type="dxa"/>
      <w:tblBorders>
        <w:top w:val="single" w:sz="8" w:space="0" w:color="f07f09"/>
        <w:left w:val="single" w:sz="8" w:space="0" w:color="f07f09"/>
        <w:bottom w:val="single" w:sz="8" w:space="0" w:color="f07f09"/>
        <w:right w:val="single" w:sz="8" w:space="0" w:color="f07f09"/>
        <w:insideH w:val="single" w:sz="8" w:space="0" w:color="f07f09"/>
        <w:insideV w:val="single" w:sz="8" w:space="0" w:color="f07f09"/>
      </w:tblBorders>
      <w:tblCellMar>
        <w:top w:w="0" w:type="dxa"/>
        <w:left w:w="108" w:type="dxa"/>
        <w:bottom w:w="0" w:type="dxa"/>
        <w:right w:w="108" w:type="dxa"/>
      </w:tblCellMar>
    </w:tblPr>
    <w:tblStylePr w:type="firstRow">
      <w:pPr>
        <w:spacing w:before="0" w:after="0" w:lineRule="auto" w:line="240"/>
      </w:pPr>
      <w:rPr>
        <w:rFonts w:cs="Courier New"/>
        <w:b/>
        <w:bCs/>
      </w:rPr>
      <w:tblPr/>
      <w:tcPr>
        <w:tcBorders>
          <w:tl2br w:val="nil"/>
          <w:tr2bl w:val="nil"/>
          <w:top w:val="single" w:sz="8" w:space="0" w:color="f07f09"/>
          <w:left w:val="single" w:sz="8" w:space="0" w:color="f07f09"/>
          <w:bottom w:val="single" w:sz="18" w:space="0" w:color="f07f09"/>
          <w:right w:val="single" w:sz="8" w:space="0" w:color="f07f09"/>
          <w:insideH w:val="nil"/>
          <w:insideV w:val="single" w:sz="8" w:space="0" w:color="f07f09"/>
        </w:tcBorders>
      </w:tcPr>
    </w:tblStylePr>
    <w:tblStylePr w:type="lastRow">
      <w:pPr>
        <w:spacing w:before="0" w:after="0" w:lineRule="auto" w:line="240"/>
      </w:pPr>
      <w:rPr>
        <w:rFonts w:cs="Courier New"/>
        <w:b/>
        <w:bCs/>
      </w:rPr>
      <w:tblPr/>
      <w:tcPr>
        <w:tcBorders>
          <w:tl2br w:val="nil"/>
          <w:tr2bl w:val="nil"/>
          <w:top w:val="double" w:sz="6" w:space="0" w:color="f07f09"/>
          <w:left w:val="single" w:sz="8" w:space="0" w:color="f07f09"/>
          <w:bottom w:val="single" w:sz="8" w:space="0" w:color="f07f09"/>
          <w:right w:val="single" w:sz="8" w:space="0" w:color="f07f09"/>
          <w:insideH w:val="nil"/>
          <w:insideV w:val="single" w:sz="8" w:space="0" w:color="f07f09"/>
        </w:tcBorders>
      </w:tcPr>
    </w:tblStylePr>
    <w:tblStylePr w:type="band1Horz">
      <w:pPr/>
      <w:tblPr/>
      <w:tcPr>
        <w:tcBorders>
          <w:tl2br w:val="nil"/>
          <w:tr2bl w:val="nil"/>
          <w:top w:val="single" w:sz="8" w:space="0" w:color="f07f09"/>
          <w:left w:val="single" w:sz="8" w:space="0" w:color="f07f09"/>
          <w:bottom w:val="single" w:sz="8" w:space="0" w:color="f07f09"/>
          <w:right w:val="single" w:sz="8" w:space="0" w:color="f07f09"/>
          <w:insideH w:val="nil"/>
          <w:insideV w:val="single" w:sz="8" w:space="0" w:color="f07f09"/>
        </w:tcBorders>
        <w:shd w:val="clear" w:color="auto" w:fill="fcdfc0"/>
      </w:tcPr>
    </w:tblStylePr>
    <w:tblStylePr w:type="band2Horz">
      <w:pPr/>
      <w:tblPr/>
      <w:tcPr>
        <w:tcBorders>
          <w:tl2br w:val="nil"/>
          <w:tr2bl w:val="nil"/>
          <w:top w:val="single" w:sz="8" w:space="0" w:color="f07f09"/>
          <w:left w:val="single" w:sz="8" w:space="0" w:color="f07f09"/>
          <w:bottom w:val="single" w:sz="8" w:space="0" w:color="f07f09"/>
          <w:right w:val="single" w:sz="8" w:space="0" w:color="f07f09"/>
          <w:insideH w:val="nil"/>
          <w:insideV w:val="single" w:sz="8" w:space="0" w:color="f07f09"/>
        </w:tcBorders>
      </w:tcPr>
    </w:tblStylePr>
    <w:tblStylePr w:type="firstCol">
      <w:pPr/>
      <w:rPr>
        <w:rFonts w:cs="Courier New"/>
        <w:b/>
        <w:bCs/>
      </w:rPr>
      <w:tcPr>
        <w:tcBorders/>
      </w:tcPr>
    </w:tblStylePr>
    <w:tblStylePr w:type="lastCol">
      <w:pPr/>
      <w:rPr>
        <w:rFonts w:cs="Courier New"/>
        <w:b/>
        <w:bCs/>
      </w:rPr>
      <w:tblPr/>
      <w:tcPr>
        <w:tcBorders>
          <w:tl2br w:val="nil"/>
          <w:tr2bl w:val="nil"/>
          <w:top w:val="single" w:sz="8" w:space="0" w:color="f07f09"/>
          <w:left w:val="single" w:sz="8" w:space="0" w:color="f07f09"/>
          <w:bottom w:val="single" w:sz="8" w:space="0" w:color="f07f09"/>
          <w:right w:val="single" w:sz="8" w:space="0" w:color="f07f09"/>
          <w:insideH w:val="nil"/>
          <w:insideV w:val="nil"/>
        </w:tcBorders>
      </w:tcPr>
    </w:tblStylePr>
    <w:tblStylePr w:type="band1Vert">
      <w:pPr/>
      <w:tblPr/>
      <w:tcPr>
        <w:tcBorders>
          <w:tl2br w:val="nil"/>
          <w:tr2bl w:val="nil"/>
          <w:top w:val="single" w:sz="8" w:space="0" w:color="f07f09"/>
          <w:left w:val="single" w:sz="8" w:space="0" w:color="f07f09"/>
          <w:bottom w:val="single" w:sz="8" w:space="0" w:color="f07f09"/>
          <w:right w:val="single" w:sz="8" w:space="0" w:color="f07f09"/>
          <w:insideH w:val="nil"/>
          <w:insideV w:val="nil"/>
        </w:tcBorders>
        <w:shd w:val="clear" w:color="auto" w:fill="fcdfc0"/>
      </w:tcPr>
    </w:tblStylePr>
    <w:tcPr>
      <w:tcBorders/>
    </w:tcPr>
  </w:style>
  <w:style w:type="table" w:customStyle="1" w:styleId="style4110">
    <w:name w:val="中等深浅网格 3 - 强调文字颜色 31"/>
    <w:basedOn w:val="style105"/>
    <w:next w:val="style4110"/>
    <w:uiPriority w:val="69"/>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b5d9ef"/>
      <w:tblCellMar>
        <w:top w:w="0" w:type="dxa"/>
        <w:left w:w="108" w:type="dxa"/>
        <w:bottom w:w="0" w:type="dxa"/>
        <w:right w:w="108" w:type="dxa"/>
      </w:tblCellMar>
    </w:tblPr>
    <w:tblStylePr w:type="firstRow">
      <w:pPr/>
      <w:rPr>
        <w:b/>
        <w:bCs/>
        <w:i w:val="false"/>
        <w:iCs w:val="false"/>
        <w:color w:val="ffffff"/>
      </w:rPr>
      <w:tblPr/>
      <w:tcPr>
        <w:tcBorders>
          <w:tl2br w:val="nil"/>
          <w:tr2bl w:val="nil"/>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b587c"/>
      </w:tcPr>
    </w:tblStylePr>
    <w:tblStylePr w:type="lastRow">
      <w:pPr/>
      <w:rPr>
        <w:b/>
        <w:bCs/>
        <w:i w:val="false"/>
        <w:iCs w:val="false"/>
        <w:color w:val="ffffff"/>
      </w:rPr>
      <w:tblPr/>
      <w:tcPr>
        <w:tcBorders>
          <w:tl2br w:val="nil"/>
          <w:tr2bl w:val="nil"/>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b587c"/>
      </w:tcPr>
    </w:tblStylePr>
    <w:tblStylePr w:type="band1Horz">
      <w:pPr/>
      <w:tblPr/>
      <w:tcPr>
        <w:tcBorders>
          <w:tl2br w:val="nil"/>
          <w:tr2bl w:val="nil"/>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cb4df"/>
      </w:tcPr>
    </w:tblStylePr>
    <w:tblStylePr w:type="firstCol">
      <w:pPr/>
      <w:rPr>
        <w:b/>
        <w:bCs/>
        <w:i w:val="false"/>
        <w:iCs w:val="false"/>
        <w:color w:val="ffffff"/>
      </w:rPr>
      <w:tblPr/>
      <w:tcPr>
        <w:tcBorders>
          <w:tl2br w:val="nil"/>
          <w:tr2bl w:val="nil"/>
          <w:top w:val="nil"/>
          <w:left w:val="single" w:sz="8" w:space="0" w:color="ffffff"/>
          <w:bottom w:val="nil"/>
          <w:right w:val="single" w:sz="24" w:space="0" w:color="ffffff"/>
          <w:insideH w:val="nil"/>
          <w:insideV w:val="nil"/>
        </w:tcBorders>
        <w:shd w:val="clear" w:color="auto" w:fill="1b587c"/>
      </w:tcPr>
    </w:tblStylePr>
    <w:tblStylePr w:type="lastCol">
      <w:pPr/>
      <w:rPr>
        <w:b/>
        <w:bCs/>
        <w:i w:val="false"/>
        <w:iCs w:val="false"/>
        <w:color w:val="ffffff"/>
      </w:rPr>
      <w:tblPr/>
      <w:tcPr>
        <w:tcBorders>
          <w:tl2br w:val="nil"/>
          <w:tr2bl w:val="nil"/>
          <w:top w:val="nil"/>
          <w:left w:val="single" w:sz="24" w:space="0" w:color="ffffff"/>
          <w:bottom w:val="nil"/>
          <w:right w:val="nil"/>
          <w:insideH w:val="nil"/>
          <w:insideV w:val="nil"/>
        </w:tcBorders>
        <w:shd w:val="clear" w:color="auto" w:fill="1b587c"/>
      </w:tcPr>
    </w:tblStylePr>
    <w:tblStylePr w:type="band1Vert">
      <w:pPr/>
      <w:tblPr/>
      <w:tcPr>
        <w:tcBorders>
          <w:tl2br w:val="nil"/>
          <w:tr2bl w:val="nil"/>
          <w:top w:val="single" w:sz="8" w:space="0" w:color="ffffff"/>
          <w:left w:val="single" w:sz="8" w:space="0" w:color="ffffff"/>
          <w:bottom w:val="single" w:sz="8" w:space="0" w:color="ffffff"/>
          <w:right w:val="single" w:sz="8" w:space="0" w:color="ffffff"/>
          <w:insideH w:val="nil"/>
          <w:insideV w:val="nil"/>
        </w:tcBorders>
        <w:shd w:val="clear" w:color="auto" w:fill="6cb4df"/>
      </w:tcPr>
    </w:tblStylePr>
    <w:tcPr>
      <w:tcBorders/>
      <w:shd w:val="clear" w:color="auto" w:fill="b5d9ef"/>
    </w:tcPr>
  </w:style>
  <w:style w:type="table" w:customStyle="1" w:styleId="style4111">
    <w:name w:val="中等深浅网格 3 - 强调文字颜色 32"/>
    <w:basedOn w:val="style105"/>
    <w:next w:val="style4111"/>
    <w:uiPriority w:val="69"/>
    <w:pPr/>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b5d9ef"/>
      <w:tblCellMar>
        <w:top w:w="0" w:type="dxa"/>
        <w:left w:w="108" w:type="dxa"/>
        <w:bottom w:w="0" w:type="dxa"/>
        <w:right w:w="108" w:type="dxa"/>
      </w:tblCellMar>
    </w:tblPr>
    <w:tblStylePr w:type="firstRow">
      <w:pPr/>
      <w:rPr>
        <w:b/>
        <w:bCs/>
        <w:i w:val="false"/>
        <w:iCs w:val="false"/>
        <w:color w:val="ffffff"/>
      </w:rPr>
      <w:tblPr/>
      <w:tcPr>
        <w:tcBorders>
          <w:tl2br w:val="nil"/>
          <w:tr2bl w:val="nil"/>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b587c"/>
      </w:tcPr>
    </w:tblStylePr>
    <w:tblStylePr w:type="lastRow">
      <w:pPr/>
      <w:rPr>
        <w:b/>
        <w:bCs/>
        <w:i w:val="false"/>
        <w:iCs w:val="false"/>
        <w:color w:val="ffffff"/>
      </w:rPr>
      <w:tblPr/>
      <w:tcPr>
        <w:tcBorders>
          <w:tl2br w:val="nil"/>
          <w:tr2bl w:val="nil"/>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b587c"/>
      </w:tcPr>
    </w:tblStylePr>
    <w:tblStylePr w:type="band1Horz">
      <w:pPr/>
      <w:tblPr/>
      <w:tcPr>
        <w:tcBorders>
          <w:tl2br w:val="nil"/>
          <w:tr2bl w:val="nil"/>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6cb4df"/>
      </w:tcPr>
    </w:tblStylePr>
    <w:tblStylePr w:type="firstCol">
      <w:pPr/>
      <w:rPr>
        <w:b/>
        <w:bCs/>
        <w:i w:val="false"/>
        <w:iCs w:val="false"/>
        <w:color w:val="ffffff"/>
      </w:rPr>
      <w:tblPr/>
      <w:tcPr>
        <w:tcBorders>
          <w:tl2br w:val="nil"/>
          <w:tr2bl w:val="nil"/>
          <w:top w:val="nil"/>
          <w:left w:val="single" w:sz="8" w:space="0" w:color="ffffff"/>
          <w:bottom w:val="nil"/>
          <w:right w:val="single" w:sz="24" w:space="0" w:color="ffffff"/>
          <w:insideH w:val="nil"/>
          <w:insideV w:val="nil"/>
        </w:tcBorders>
        <w:shd w:val="clear" w:color="auto" w:fill="1b587c"/>
      </w:tcPr>
    </w:tblStylePr>
    <w:tblStylePr w:type="lastCol">
      <w:pPr/>
      <w:rPr>
        <w:b/>
        <w:bCs/>
        <w:i w:val="false"/>
        <w:iCs w:val="false"/>
        <w:color w:val="ffffff"/>
      </w:rPr>
      <w:tblPr/>
      <w:tcPr>
        <w:tcBorders>
          <w:tl2br w:val="nil"/>
          <w:tr2bl w:val="nil"/>
          <w:top w:val="nil"/>
          <w:left w:val="single" w:sz="24" w:space="0" w:color="ffffff"/>
          <w:bottom w:val="nil"/>
          <w:right w:val="nil"/>
          <w:insideH w:val="nil"/>
          <w:insideV w:val="nil"/>
        </w:tcBorders>
        <w:shd w:val="clear" w:color="auto" w:fill="1b587c"/>
      </w:tcPr>
    </w:tblStylePr>
    <w:tblStylePr w:type="band1Vert">
      <w:pPr/>
      <w:tblPr/>
      <w:tcPr>
        <w:tcBorders>
          <w:tl2br w:val="nil"/>
          <w:tr2bl w:val="nil"/>
          <w:top w:val="single" w:sz="8" w:space="0" w:color="ffffff"/>
          <w:left w:val="single" w:sz="8" w:space="0" w:color="ffffff"/>
          <w:bottom w:val="single" w:sz="8" w:space="0" w:color="ffffff"/>
          <w:right w:val="single" w:sz="8" w:space="0" w:color="ffffff"/>
          <w:insideH w:val="nil"/>
          <w:insideV w:val="nil"/>
        </w:tcBorders>
        <w:shd w:val="clear" w:color="auto" w:fill="6cb4df"/>
      </w:tcPr>
    </w:tblStylePr>
    <w:tcPr>
      <w:tcBorders/>
      <w:shd w:val="clear" w:color="auto" w:fill="b5d9ef"/>
    </w:tcPr>
  </w:style>
  <w:style w:type="paragraph" w:styleId="style76">
    <w:name w:val="Date"/>
    <w:basedOn w:val="style0"/>
    <w:next w:val="style0"/>
    <w:link w:val="style4112"/>
    <w:qFormat/>
    <w:uiPriority w:val="99"/>
    <w:pPr>
      <w:spacing w:after="160" w:lineRule="auto" w:line="259"/>
      <w:ind w:left="100" w:leftChars="2500"/>
    </w:pPr>
    <w:rPr>
      <w:rFonts w:ascii="Times New Roman" w:eastAsia="微软雅黑" w:hAnsi="Times New Roman"/>
      <w:szCs w:val="21"/>
    </w:rPr>
  </w:style>
  <w:style w:type="character" w:customStyle="1" w:styleId="style4112">
    <w:name w:val="日期 Char"/>
    <w:next w:val="style4112"/>
    <w:link w:val="style76"/>
    <w:qFormat/>
    <w:uiPriority w:val="99"/>
    <w:rPr>
      <w:rFonts w:ascii="Times New Roman" w:eastAsia="微软雅黑" w:hAnsi="Times New Roman"/>
      <w:kern w:val="2"/>
      <w:sz w:val="21"/>
      <w:szCs w:val="21"/>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_rels/settings.xml.rels><?xml version="1.0" encoding="UTF-8"?>
<Relationships xmlns="http://schemas.openxmlformats.org/package/2006/relationships"><Relationship Id="rId1" Type="http://schemas.openxmlformats.org/officeDocument/2006/relationships/attachedTemplate" TargetMode="External" Target="file:/C:/Users/xph/Desktop/&#21457;&#24067;&#31295;-&#19978;&#28023;&#24066;&#36712;&#36947;&#20132;&#36890;&#36816;&#33829;&#26381;&#21153;&#20056;&#23458;&#28385;&#24847;&#24230;&#27979;&#35780;&#21457;&#24067;&#31295;&#65288;2025&#24180;&#31532;&#19968;&#23395;&#24230;&#65289;.dot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发布稿-上海市轨道交通运营服务乘客满意度测评发布稿（2025年第一季度）</Template>
  <TotalTime>6</TotalTime>
  <Words>1250</Words>
  <Pages>4</Pages>
  <Characters>1330</Characters>
  <Application>WPS Office</Application>
  <DocSecurity>0</DocSecurity>
  <Paragraphs>29</Paragraphs>
  <ScaleCrop>false</ScaleCrop>
  <Company>Microsoft</Company>
  <LinksUpToDate>false</LinksUpToDate>
  <CharactersWithSpaces>1330</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2025-08-18T04:43:00Z</dcterms:created>
  <dc:creator>xph</dc:creator>
  <lastModifiedBy>LIO-AN00P</lastModifiedBy>
  <lastPrinted>2023-11-20T07:36:00Z</lastPrinted>
  <dcterms:modified xsi:type="dcterms:W3CDTF">2025-08-19T07:20:09Z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b75ba03f820b4bf4ba552cad6f9052eb_23</vt:lpwstr>
  </property>
</Properties>
</file>