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A2570">
      <w:pPr>
        <w:spacing w:line="600" w:lineRule="exact"/>
      </w:pPr>
    </w:p>
    <w:p w14:paraId="7D2DEFE8">
      <w:pPr>
        <w:spacing w:line="600" w:lineRule="exact"/>
        <w:jc w:val="center"/>
      </w:pPr>
      <w:r>
        <w:rPr>
          <w:rFonts w:hint="eastAsia" w:ascii="方正小标宋简体" w:hAnsi="方正小标宋简体" w:eastAsia="方正小标宋简体" w:cs="方正小标宋简体"/>
          <w:sz w:val="44"/>
          <w:szCs w:val="44"/>
        </w:rPr>
        <w:t>上海市交通行业安全生产风险管理办法</w:t>
      </w:r>
    </w:p>
    <w:p w14:paraId="602AA1BB">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451B633B">
      <w:pPr>
        <w:spacing w:line="600" w:lineRule="exact"/>
        <w:jc w:val="center"/>
        <w:rPr>
          <w:rFonts w:hint="eastAsia" w:ascii="楷体_GB2312" w:hAnsi="楷体_GB2312" w:eastAsia="楷体_GB2312" w:cs="楷体_GB2312"/>
          <w:sz w:val="32"/>
          <w:szCs w:val="32"/>
        </w:rPr>
      </w:pPr>
    </w:p>
    <w:p w14:paraId="3F99219A">
      <w:pPr>
        <w:spacing w:line="60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第一条（目的依据）</w:t>
      </w:r>
    </w:p>
    <w:p w14:paraId="026E104D">
      <w:pPr>
        <w:spacing w:line="600" w:lineRule="exact"/>
        <w:ind w:firstLine="640" w:firstLineChars="200"/>
        <w:jc w:val="both"/>
        <w:rPr>
          <w:rFonts w:eastAsia="仿宋_GB2312"/>
          <w:sz w:val="32"/>
          <w:szCs w:val="32"/>
        </w:rPr>
      </w:pPr>
      <w:r>
        <w:rPr>
          <w:rFonts w:eastAsia="仿宋_GB2312"/>
          <w:sz w:val="32"/>
          <w:szCs w:val="32"/>
        </w:rPr>
        <w:t>为建立健全本市交通行业安全风险防控体系，规范安全风险防控工作，防范和减少生产安全事故，依据《</w:t>
      </w:r>
      <w:r>
        <w:fldChar w:fldCharType="begin"/>
      </w:r>
      <w:r>
        <w:instrText xml:space="preserve"> HYPERLINK "https://www.pkulaw.com/chl/2d5be59e3dd0fc48bdfb.html?way=textSlc" </w:instrText>
      </w:r>
      <w:r>
        <w:fldChar w:fldCharType="separate"/>
      </w:r>
      <w:r>
        <w:rPr>
          <w:rFonts w:eastAsia="仿宋_GB2312"/>
          <w:sz w:val="32"/>
          <w:szCs w:val="32"/>
        </w:rPr>
        <w:t>中华人民共和国安全生产法</w:t>
      </w:r>
      <w:r>
        <w:rPr>
          <w:rFonts w:eastAsia="仿宋_GB2312"/>
          <w:sz w:val="32"/>
          <w:szCs w:val="32"/>
        </w:rPr>
        <w:fldChar w:fldCharType="end"/>
      </w:r>
      <w:r>
        <w:rPr>
          <w:rFonts w:eastAsia="仿宋_GB2312"/>
          <w:sz w:val="32"/>
          <w:szCs w:val="32"/>
        </w:rPr>
        <w:t>》《</w:t>
      </w:r>
      <w:r>
        <w:fldChar w:fldCharType="begin"/>
      </w:r>
      <w:r>
        <w:instrText xml:space="preserve"> HYPERLINK "https://www.pkulaw.com/lar/0c6d4fb1730eb7aaec35aa580ca76d22bdfb.html?way=textSlc" </w:instrText>
      </w:r>
      <w:r>
        <w:fldChar w:fldCharType="separate"/>
      </w:r>
      <w:r>
        <w:rPr>
          <w:rFonts w:eastAsia="仿宋_GB2312"/>
          <w:sz w:val="32"/>
          <w:szCs w:val="32"/>
        </w:rPr>
        <w:t>上海市安全生产条例</w:t>
      </w:r>
      <w:r>
        <w:rPr>
          <w:rFonts w:eastAsia="仿宋_GB2312"/>
          <w:sz w:val="32"/>
          <w:szCs w:val="32"/>
        </w:rPr>
        <w:fldChar w:fldCharType="end"/>
      </w:r>
      <w:r>
        <w:rPr>
          <w:rFonts w:eastAsia="仿宋_GB2312"/>
          <w:sz w:val="32"/>
          <w:szCs w:val="32"/>
        </w:rPr>
        <w:t>》等有关规定，</w:t>
      </w:r>
      <w:r>
        <w:rPr>
          <w:rFonts w:hint="eastAsia" w:eastAsia="仿宋_GB2312"/>
          <w:sz w:val="32"/>
          <w:szCs w:val="32"/>
          <w:lang w:eastAsia="zh-CN"/>
        </w:rPr>
        <w:t>结合本市交通行业实际，</w:t>
      </w:r>
      <w:r>
        <w:rPr>
          <w:rFonts w:eastAsia="仿宋_GB2312"/>
          <w:sz w:val="32"/>
          <w:szCs w:val="32"/>
        </w:rPr>
        <w:t>制定本办法。</w:t>
      </w:r>
    </w:p>
    <w:p w14:paraId="58B0F62D">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第二条（适用范围）</w:t>
      </w:r>
    </w:p>
    <w:p w14:paraId="19177B4B">
      <w:pPr>
        <w:spacing w:line="600" w:lineRule="exact"/>
        <w:ind w:firstLine="640" w:firstLineChars="200"/>
        <w:jc w:val="both"/>
        <w:rPr>
          <w:rFonts w:eastAsia="仿宋_GB2312"/>
          <w:sz w:val="32"/>
          <w:szCs w:val="32"/>
        </w:rPr>
      </w:pPr>
      <w:r>
        <w:rPr>
          <w:rFonts w:eastAsia="仿宋_GB2312"/>
          <w:sz w:val="32"/>
          <w:szCs w:val="32"/>
        </w:rPr>
        <w:t>本办法适用于本市交通行业安全风险辨识、评估、管控及其监督管理工作。</w:t>
      </w:r>
    </w:p>
    <w:p w14:paraId="6735460B">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三</w:t>
      </w:r>
      <w:r>
        <w:rPr>
          <w:rFonts w:ascii="黑体" w:hAnsi="黑体" w:eastAsia="黑体" w:cs="黑体"/>
          <w:sz w:val="32"/>
          <w:szCs w:val="32"/>
        </w:rPr>
        <w:t>条（工作原则）</w:t>
      </w:r>
    </w:p>
    <w:p w14:paraId="1EF88483">
      <w:pPr>
        <w:spacing w:line="600" w:lineRule="exact"/>
        <w:ind w:firstLine="640" w:firstLineChars="200"/>
        <w:jc w:val="both"/>
        <w:rPr>
          <w:rFonts w:eastAsia="仿宋_GB2312"/>
          <w:sz w:val="32"/>
          <w:szCs w:val="32"/>
        </w:rPr>
      </w:pPr>
      <w:r>
        <w:rPr>
          <w:rFonts w:eastAsia="仿宋_GB2312"/>
          <w:sz w:val="32"/>
          <w:szCs w:val="32"/>
        </w:rPr>
        <w:t>安全风险管理工作应当坚持“企业负责、行业监管、动态管理、全面覆盖、全员参与”的原则。</w:t>
      </w:r>
    </w:p>
    <w:p w14:paraId="3A2FEE97">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四</w:t>
      </w:r>
      <w:r>
        <w:rPr>
          <w:rFonts w:ascii="黑体" w:hAnsi="黑体" w:eastAsia="黑体" w:cs="黑体"/>
          <w:sz w:val="32"/>
          <w:szCs w:val="32"/>
        </w:rPr>
        <w:t>条（主体责任）</w:t>
      </w:r>
    </w:p>
    <w:p w14:paraId="58A6A840">
      <w:pPr>
        <w:spacing w:line="600" w:lineRule="exact"/>
        <w:ind w:firstLine="640" w:firstLineChars="200"/>
        <w:jc w:val="both"/>
        <w:rPr>
          <w:rFonts w:eastAsia="仿宋_GB2312"/>
          <w:sz w:val="32"/>
          <w:szCs w:val="32"/>
        </w:rPr>
      </w:pPr>
      <w:r>
        <w:rPr>
          <w:rFonts w:eastAsia="仿宋_GB2312"/>
          <w:sz w:val="32"/>
          <w:szCs w:val="32"/>
        </w:rPr>
        <w:t>从事交通行业生产经营活动的企事业单位（以下简称“生产经营单位”）是交通行业生产经营活动安全风险管理的实施主体，应当依法依规建立健全安全风险</w:t>
      </w:r>
      <w:r>
        <w:rPr>
          <w:rFonts w:hint="eastAsia" w:eastAsia="仿宋_GB2312"/>
          <w:sz w:val="32"/>
          <w:szCs w:val="32"/>
        </w:rPr>
        <w:t>分级管控制度</w:t>
      </w:r>
      <w:r>
        <w:rPr>
          <w:rFonts w:eastAsia="仿宋_GB2312"/>
          <w:sz w:val="32"/>
          <w:szCs w:val="32"/>
        </w:rPr>
        <w:t>，针对工艺、设备、物品、场所和岗位，开展安全风险辨识、评估、管控，报告</w:t>
      </w:r>
      <w:r>
        <w:rPr>
          <w:rFonts w:hint="eastAsia" w:eastAsia="仿宋_GB2312"/>
          <w:sz w:val="32"/>
          <w:szCs w:val="32"/>
        </w:rPr>
        <w:t>安全</w:t>
      </w:r>
      <w:r>
        <w:rPr>
          <w:rFonts w:eastAsia="仿宋_GB2312"/>
          <w:sz w:val="32"/>
          <w:szCs w:val="32"/>
        </w:rPr>
        <w:t>风险分级管控实施情况，有效防范和减少生产安全事故。</w:t>
      </w:r>
    </w:p>
    <w:p w14:paraId="325F8F3A">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条（职责分工）</w:t>
      </w:r>
    </w:p>
    <w:p w14:paraId="5725B59E">
      <w:pPr>
        <w:spacing w:line="600" w:lineRule="exact"/>
        <w:ind w:firstLine="640" w:firstLineChars="200"/>
        <w:jc w:val="both"/>
        <w:rPr>
          <w:rFonts w:eastAsia="仿宋_GB2312"/>
          <w:sz w:val="32"/>
          <w:szCs w:val="32"/>
        </w:rPr>
      </w:pPr>
      <w:r>
        <w:rPr>
          <w:rFonts w:eastAsia="仿宋_GB2312"/>
          <w:sz w:val="32"/>
          <w:szCs w:val="32"/>
        </w:rPr>
        <w:t>上海市交通委员会（以下简称</w:t>
      </w:r>
      <w:r>
        <w:rPr>
          <w:rFonts w:hint="eastAsia" w:eastAsia="仿宋_GB2312"/>
          <w:sz w:val="32"/>
          <w:szCs w:val="32"/>
        </w:rPr>
        <w:t>“</w:t>
      </w:r>
      <w:r>
        <w:rPr>
          <w:rFonts w:eastAsia="仿宋_GB2312"/>
          <w:sz w:val="32"/>
          <w:szCs w:val="32"/>
        </w:rPr>
        <w:t>市交通委</w:t>
      </w:r>
      <w:r>
        <w:rPr>
          <w:rFonts w:hint="eastAsia" w:eastAsia="仿宋_GB2312"/>
          <w:sz w:val="32"/>
          <w:szCs w:val="32"/>
        </w:rPr>
        <w:t>”</w:t>
      </w:r>
      <w:r>
        <w:rPr>
          <w:rFonts w:eastAsia="仿宋_GB2312"/>
          <w:sz w:val="32"/>
          <w:szCs w:val="32"/>
        </w:rPr>
        <w:t>）负责监督、指导本市交通行业安全风险防控工作。</w:t>
      </w:r>
    </w:p>
    <w:p w14:paraId="00A6B0E8">
      <w:pPr>
        <w:spacing w:line="600" w:lineRule="exact"/>
        <w:ind w:firstLine="640" w:firstLineChars="200"/>
        <w:jc w:val="both"/>
        <w:rPr>
          <w:rFonts w:eastAsia="仿宋_GB2312"/>
          <w:sz w:val="32"/>
          <w:szCs w:val="32"/>
        </w:rPr>
      </w:pPr>
      <w:r>
        <w:rPr>
          <w:rFonts w:hint="eastAsia" w:eastAsia="仿宋_GB2312"/>
          <w:sz w:val="32"/>
          <w:szCs w:val="32"/>
        </w:rPr>
        <w:t>市交通委、</w:t>
      </w:r>
      <w:r>
        <w:rPr>
          <w:rFonts w:eastAsia="仿宋_GB2312"/>
          <w:sz w:val="32"/>
          <w:szCs w:val="32"/>
        </w:rPr>
        <w:t>区交通行政管理部门</w:t>
      </w:r>
      <w:r>
        <w:rPr>
          <w:rFonts w:hint="eastAsia" w:eastAsia="仿宋_GB2312"/>
          <w:sz w:val="32"/>
          <w:szCs w:val="32"/>
        </w:rPr>
        <w:t>（以下统称“管理部门”）</w:t>
      </w:r>
      <w:r>
        <w:rPr>
          <w:rFonts w:eastAsia="仿宋_GB2312"/>
          <w:sz w:val="32"/>
          <w:szCs w:val="32"/>
        </w:rPr>
        <w:t>依照法律、法规、规章和市交通委安全生产委员会成员单位安全生产工作职责的规定，对其职责范围内的安全风险管理工作实施监管。</w:t>
      </w:r>
    </w:p>
    <w:p w14:paraId="428A960F">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第六条（安责险保障）</w:t>
      </w:r>
    </w:p>
    <w:p w14:paraId="7DE4F768">
      <w:pPr>
        <w:spacing w:line="600" w:lineRule="exact"/>
        <w:ind w:firstLine="640" w:firstLineChars="200"/>
        <w:jc w:val="both"/>
        <w:rPr>
          <w:rFonts w:eastAsia="仿宋_GB2312"/>
          <w:sz w:val="32"/>
          <w:szCs w:val="32"/>
        </w:rPr>
      </w:pPr>
      <w:r>
        <w:rPr>
          <w:rFonts w:hint="eastAsia" w:eastAsia="仿宋_GB2312"/>
          <w:sz w:val="32"/>
          <w:szCs w:val="32"/>
          <w:lang w:eastAsia="zh-CN"/>
        </w:rPr>
        <w:t>充分发挥</w:t>
      </w:r>
      <w:r>
        <w:rPr>
          <w:rFonts w:hint="eastAsia" w:eastAsia="仿宋_GB2312"/>
          <w:sz w:val="32"/>
          <w:szCs w:val="32"/>
        </w:rPr>
        <w:t>全生产责任保险</w:t>
      </w:r>
      <w:r>
        <w:rPr>
          <w:rFonts w:hint="eastAsia" w:eastAsia="仿宋_GB2312"/>
          <w:sz w:val="32"/>
          <w:szCs w:val="32"/>
          <w:lang w:eastAsia="zh-CN"/>
        </w:rPr>
        <w:t>在</w:t>
      </w:r>
      <w:r>
        <w:rPr>
          <w:rFonts w:hint="eastAsia" w:eastAsia="仿宋_GB2312"/>
          <w:sz w:val="32"/>
          <w:szCs w:val="32"/>
        </w:rPr>
        <w:t>道路运输、水路运输、交通建设工程等高危行业、领域</w:t>
      </w:r>
      <w:r>
        <w:rPr>
          <w:rFonts w:hint="eastAsia" w:eastAsia="仿宋_GB2312"/>
          <w:sz w:val="32"/>
          <w:szCs w:val="32"/>
          <w:lang w:eastAsia="zh-CN"/>
        </w:rPr>
        <w:t>的支撑保障作用</w:t>
      </w:r>
      <w:r>
        <w:rPr>
          <w:rFonts w:hint="eastAsia" w:eastAsia="仿宋_GB2312"/>
          <w:sz w:val="32"/>
          <w:szCs w:val="32"/>
        </w:rPr>
        <w:t>，强化事故预防功能。</w:t>
      </w:r>
    </w:p>
    <w:p w14:paraId="5BE114BB">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第七条（数字化风险防控）</w:t>
      </w:r>
    </w:p>
    <w:p w14:paraId="234C1B6B">
      <w:pPr>
        <w:spacing w:line="600" w:lineRule="exact"/>
        <w:ind w:firstLine="640" w:firstLineChars="200"/>
        <w:jc w:val="both"/>
        <w:rPr>
          <w:rFonts w:eastAsia="仿宋_GB2312"/>
          <w:sz w:val="32"/>
          <w:szCs w:val="32"/>
        </w:rPr>
      </w:pPr>
      <w:r>
        <w:rPr>
          <w:rFonts w:eastAsia="仿宋_GB2312"/>
          <w:sz w:val="32"/>
          <w:szCs w:val="32"/>
        </w:rPr>
        <w:t>管理部门应当利用互联网，运用大数据、物联网、人工智能等现代信息技术，加强对生产经营单位安全风险数据的交流共享和运用拓展，全面提升安全风险防控能力，开展以下数字化安全风险防控：</w:t>
      </w:r>
    </w:p>
    <w:p w14:paraId="5D72793E">
      <w:pPr>
        <w:spacing w:line="600" w:lineRule="exact"/>
        <w:ind w:firstLine="640" w:firstLineChars="200"/>
        <w:jc w:val="both"/>
        <w:rPr>
          <w:rFonts w:eastAsia="仿宋_GB2312"/>
          <w:sz w:val="32"/>
          <w:szCs w:val="32"/>
        </w:rPr>
      </w:pPr>
      <w:r>
        <w:rPr>
          <w:rFonts w:eastAsia="仿宋_GB2312"/>
          <w:sz w:val="32"/>
          <w:szCs w:val="32"/>
        </w:rPr>
        <w:t>（一）加强感知设备建设规划和运用</w:t>
      </w:r>
      <w:r>
        <w:rPr>
          <w:rFonts w:hint="eastAsia" w:eastAsia="仿宋_GB2312"/>
          <w:sz w:val="32"/>
          <w:szCs w:val="32"/>
        </w:rPr>
        <w:t>；</w:t>
      </w:r>
    </w:p>
    <w:p w14:paraId="648841D0">
      <w:pPr>
        <w:spacing w:line="600" w:lineRule="exact"/>
        <w:ind w:firstLine="640" w:firstLineChars="200"/>
        <w:jc w:val="both"/>
        <w:rPr>
          <w:rFonts w:eastAsia="仿宋_GB2312"/>
          <w:sz w:val="32"/>
          <w:szCs w:val="32"/>
        </w:rPr>
      </w:pPr>
      <w:r>
        <w:rPr>
          <w:rFonts w:eastAsia="仿宋_GB2312"/>
          <w:sz w:val="32"/>
          <w:szCs w:val="32"/>
        </w:rPr>
        <w:t>（二）实行在线监管、远程监管、移动监管和智能预警等非现场监管</w:t>
      </w:r>
      <w:r>
        <w:rPr>
          <w:rFonts w:hint="eastAsia" w:eastAsia="仿宋_GB2312"/>
          <w:sz w:val="32"/>
          <w:szCs w:val="32"/>
        </w:rPr>
        <w:t>；</w:t>
      </w:r>
    </w:p>
    <w:p w14:paraId="53880073">
      <w:pPr>
        <w:spacing w:line="600" w:lineRule="exact"/>
        <w:ind w:firstLine="640" w:firstLineChars="200"/>
        <w:jc w:val="both"/>
        <w:rPr>
          <w:rFonts w:eastAsia="仿宋_GB2312"/>
          <w:sz w:val="32"/>
          <w:szCs w:val="32"/>
        </w:rPr>
      </w:pPr>
      <w:r>
        <w:rPr>
          <w:rFonts w:eastAsia="仿宋_GB2312"/>
          <w:sz w:val="32"/>
          <w:szCs w:val="32"/>
        </w:rPr>
        <w:t>（三）利用电子标签进行识别和追溯</w:t>
      </w:r>
      <w:r>
        <w:rPr>
          <w:rFonts w:hint="eastAsia" w:eastAsia="仿宋_GB2312"/>
          <w:sz w:val="32"/>
          <w:szCs w:val="32"/>
        </w:rPr>
        <w:t>；</w:t>
      </w:r>
    </w:p>
    <w:p w14:paraId="6066D2BB">
      <w:pPr>
        <w:spacing w:line="600" w:lineRule="exact"/>
        <w:ind w:firstLine="640" w:firstLineChars="200"/>
        <w:jc w:val="both"/>
        <w:rPr>
          <w:rFonts w:eastAsia="仿宋_GB2312"/>
          <w:sz w:val="32"/>
          <w:szCs w:val="32"/>
        </w:rPr>
      </w:pPr>
      <w:r>
        <w:rPr>
          <w:rFonts w:eastAsia="仿宋_GB2312"/>
          <w:sz w:val="32"/>
          <w:szCs w:val="32"/>
        </w:rPr>
        <w:t>（四）搭建预知研判模型，利用数字工具辨识安全风险，并作为监管的重要依据。</w:t>
      </w:r>
    </w:p>
    <w:p w14:paraId="3F141C92">
      <w:pPr>
        <w:spacing w:line="600" w:lineRule="exact"/>
        <w:ind w:firstLine="640" w:firstLineChars="200"/>
        <w:outlineLvl w:val="0"/>
        <w:rPr>
          <w:rFonts w:hint="eastAsia"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八</w:t>
      </w:r>
      <w:r>
        <w:rPr>
          <w:rFonts w:ascii="黑体" w:hAnsi="黑体" w:eastAsia="黑体" w:cs="黑体"/>
          <w:sz w:val="32"/>
          <w:szCs w:val="32"/>
        </w:rPr>
        <w:t>条（风险分级）</w:t>
      </w:r>
    </w:p>
    <w:p w14:paraId="483AF2DF">
      <w:pPr>
        <w:spacing w:line="600" w:lineRule="exact"/>
        <w:ind w:firstLine="640" w:firstLineChars="200"/>
        <w:jc w:val="both"/>
        <w:rPr>
          <w:rFonts w:eastAsia="仿宋_GB2312"/>
          <w:sz w:val="32"/>
          <w:szCs w:val="32"/>
        </w:rPr>
      </w:pPr>
      <w:r>
        <w:rPr>
          <w:rFonts w:hint="eastAsia" w:eastAsia="仿宋_GB2312"/>
          <w:sz w:val="32"/>
          <w:szCs w:val="32"/>
        </w:rPr>
        <w:t>安全</w:t>
      </w:r>
      <w:r>
        <w:rPr>
          <w:rFonts w:eastAsia="仿宋_GB2312"/>
          <w:sz w:val="32"/>
          <w:szCs w:val="32"/>
        </w:rPr>
        <w:t>风险等级按照发生生产安全事故的概率和可能导致的后果，由高到低依次分为重大、较大、一般和较小四个等级。</w:t>
      </w:r>
    </w:p>
    <w:p w14:paraId="7FF812C8">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九</w:t>
      </w:r>
      <w:r>
        <w:rPr>
          <w:rFonts w:ascii="黑体" w:hAnsi="黑体" w:eastAsia="黑体" w:cs="黑体"/>
          <w:sz w:val="32"/>
          <w:szCs w:val="32"/>
        </w:rPr>
        <w:t>条（风险</w:t>
      </w:r>
      <w:r>
        <w:rPr>
          <w:rFonts w:hint="eastAsia" w:ascii="黑体" w:hAnsi="黑体" w:eastAsia="黑体" w:cs="黑体"/>
          <w:sz w:val="32"/>
          <w:szCs w:val="32"/>
        </w:rPr>
        <w:t>辨识</w:t>
      </w:r>
      <w:r>
        <w:rPr>
          <w:rFonts w:ascii="黑体" w:hAnsi="黑体" w:eastAsia="黑体" w:cs="黑体"/>
          <w:sz w:val="32"/>
          <w:szCs w:val="32"/>
        </w:rPr>
        <w:t>评估）</w:t>
      </w:r>
    </w:p>
    <w:p w14:paraId="12D1998F">
      <w:pPr>
        <w:spacing w:line="600" w:lineRule="exact"/>
        <w:ind w:firstLine="640" w:firstLineChars="200"/>
        <w:jc w:val="both"/>
        <w:rPr>
          <w:rFonts w:eastAsia="仿宋_GB2312"/>
          <w:sz w:val="32"/>
          <w:szCs w:val="32"/>
        </w:rPr>
      </w:pPr>
      <w:r>
        <w:rPr>
          <w:rFonts w:eastAsia="仿宋_GB2312"/>
          <w:sz w:val="32"/>
          <w:szCs w:val="32"/>
        </w:rPr>
        <w:t>生产经营单位应当</w:t>
      </w:r>
      <w:r>
        <w:rPr>
          <w:rFonts w:hint="eastAsia" w:eastAsia="仿宋_GB2312"/>
          <w:sz w:val="32"/>
          <w:szCs w:val="32"/>
        </w:rPr>
        <w:t>针对本单位生产经营活动范围及其生产经营环节，按照相关法规标准要求开展安全风险辨识，</w:t>
      </w:r>
      <w:r>
        <w:rPr>
          <w:rFonts w:eastAsia="仿宋_GB2312"/>
          <w:sz w:val="32"/>
          <w:szCs w:val="32"/>
        </w:rPr>
        <w:t>对已辨识完成的风险清单进行逐项评估，确定</w:t>
      </w:r>
      <w:r>
        <w:rPr>
          <w:rFonts w:hint="eastAsia" w:eastAsia="仿宋_GB2312"/>
          <w:sz w:val="32"/>
          <w:szCs w:val="32"/>
        </w:rPr>
        <w:t>安全</w:t>
      </w:r>
      <w:r>
        <w:rPr>
          <w:rFonts w:eastAsia="仿宋_GB2312"/>
          <w:sz w:val="32"/>
          <w:szCs w:val="32"/>
        </w:rPr>
        <w:t>风险等级和主要致险因素、控制指标及控制范围。</w:t>
      </w:r>
    </w:p>
    <w:p w14:paraId="590F0A10">
      <w:pPr>
        <w:spacing w:line="600" w:lineRule="exact"/>
        <w:ind w:firstLine="640" w:firstLineChars="200"/>
        <w:jc w:val="both"/>
        <w:rPr>
          <w:rFonts w:eastAsia="仿宋_GB2312"/>
          <w:sz w:val="32"/>
          <w:szCs w:val="32"/>
        </w:rPr>
      </w:pPr>
      <w:r>
        <w:rPr>
          <w:rFonts w:eastAsia="仿宋_GB2312"/>
          <w:sz w:val="32"/>
          <w:szCs w:val="32"/>
        </w:rPr>
        <w:t>风险致险因素发生变化超出控制范围的，生产经营单位应当及时组织重新评估并确定等级。生产经营单位重大风险等级评定、等级变更和销号，</w:t>
      </w:r>
      <w:r>
        <w:rPr>
          <w:rFonts w:hint="eastAsia" w:eastAsia="仿宋_GB2312"/>
          <w:sz w:val="32"/>
          <w:szCs w:val="32"/>
        </w:rPr>
        <w:t>可以</w:t>
      </w:r>
      <w:r>
        <w:rPr>
          <w:rFonts w:eastAsia="仿宋_GB2312"/>
          <w:sz w:val="32"/>
          <w:szCs w:val="32"/>
        </w:rPr>
        <w:t>委托第三方服务机构进行评估或者成立评估组进行评估，出具评估结论。</w:t>
      </w:r>
    </w:p>
    <w:p w14:paraId="6F253BB5">
      <w:pPr>
        <w:spacing w:line="600" w:lineRule="exact"/>
        <w:ind w:firstLine="640" w:firstLineChars="200"/>
        <w:jc w:val="both"/>
        <w:rPr>
          <w:rFonts w:eastAsia="仿宋_GB2312"/>
          <w:sz w:val="32"/>
          <w:szCs w:val="32"/>
        </w:rPr>
      </w:pPr>
      <w:r>
        <w:rPr>
          <w:rFonts w:hint="eastAsia" w:eastAsia="仿宋_GB2312"/>
          <w:sz w:val="32"/>
          <w:szCs w:val="32"/>
          <w:lang w:eastAsia="zh-CN"/>
        </w:rPr>
        <w:t>管理部门</w:t>
      </w:r>
      <w:r>
        <w:rPr>
          <w:rFonts w:hint="eastAsia" w:ascii="Times New Roman" w:hAnsi="Times New Roman" w:eastAsia="仿宋_GB2312" w:cs="Times New Roman"/>
          <w:kern w:val="0"/>
          <w:sz w:val="32"/>
          <w:szCs w:val="32"/>
          <w:lang w:val="en-US" w:eastAsia="zh-CN" w:bidi="ar"/>
        </w:rPr>
        <w:t>每季度要全面摸底交通运输行业重大风险的动态变化情况，深入分析风险因素变化趋势，更加全面准确掌握行业重大风险分布及季节性变化规律，针对性提出防范对策建议，指导行业防范化解安全生产重大风险。</w:t>
      </w:r>
    </w:p>
    <w:p w14:paraId="6CA9670C">
      <w:pPr>
        <w:spacing w:line="600" w:lineRule="exact"/>
        <w:ind w:firstLine="640" w:firstLineChars="200"/>
        <w:jc w:val="both"/>
        <w:outlineLvl w:val="0"/>
        <w:rPr>
          <w:rFonts w:hint="eastAsia" w:ascii="黑体" w:hAnsi="黑体" w:eastAsia="黑体" w:cs="黑体"/>
          <w:sz w:val="32"/>
          <w:szCs w:val="32"/>
        </w:rPr>
      </w:pPr>
      <w:r>
        <w:rPr>
          <w:rFonts w:ascii="黑体" w:hAnsi="黑体" w:eastAsia="黑体" w:cs="黑体"/>
          <w:sz w:val="32"/>
          <w:szCs w:val="32"/>
        </w:rPr>
        <w:t>第十条（风险管控）</w:t>
      </w:r>
    </w:p>
    <w:p w14:paraId="26A848BD">
      <w:pPr>
        <w:spacing w:line="600" w:lineRule="exact"/>
        <w:ind w:firstLine="640" w:firstLineChars="200"/>
        <w:jc w:val="both"/>
        <w:rPr>
          <w:rFonts w:eastAsia="仿宋_GB2312"/>
          <w:sz w:val="32"/>
          <w:szCs w:val="32"/>
        </w:rPr>
      </w:pPr>
      <w:r>
        <w:rPr>
          <w:rFonts w:eastAsia="仿宋_GB2312"/>
          <w:sz w:val="32"/>
          <w:szCs w:val="32"/>
        </w:rPr>
        <w:t>生产经营单位应当根据</w:t>
      </w:r>
      <w:r>
        <w:rPr>
          <w:rFonts w:hint="eastAsia" w:eastAsia="仿宋_GB2312"/>
          <w:sz w:val="32"/>
          <w:szCs w:val="32"/>
        </w:rPr>
        <w:t>安全</w:t>
      </w:r>
      <w:r>
        <w:rPr>
          <w:rFonts w:eastAsia="仿宋_GB2312"/>
          <w:sz w:val="32"/>
          <w:szCs w:val="32"/>
        </w:rPr>
        <w:t>风险控制指标及控制范围，制定下列管控措施，确保</w:t>
      </w:r>
      <w:r>
        <w:rPr>
          <w:rFonts w:hint="eastAsia" w:eastAsia="仿宋_GB2312"/>
          <w:sz w:val="32"/>
          <w:szCs w:val="32"/>
        </w:rPr>
        <w:t>安全</w:t>
      </w:r>
      <w:r>
        <w:rPr>
          <w:rFonts w:eastAsia="仿宋_GB2312"/>
          <w:sz w:val="32"/>
          <w:szCs w:val="32"/>
        </w:rPr>
        <w:t>风险发生的概率和产生的后果在可控范围内：</w:t>
      </w:r>
    </w:p>
    <w:p w14:paraId="2802478E">
      <w:pPr>
        <w:spacing w:line="600"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）严格落实</w:t>
      </w:r>
      <w:r>
        <w:rPr>
          <w:rFonts w:hint="eastAsia" w:eastAsia="仿宋_GB2312"/>
          <w:sz w:val="32"/>
          <w:szCs w:val="32"/>
        </w:rPr>
        <w:t>安全</w:t>
      </w:r>
      <w:r>
        <w:rPr>
          <w:rFonts w:eastAsia="仿宋_GB2312"/>
          <w:sz w:val="32"/>
          <w:szCs w:val="32"/>
        </w:rPr>
        <w:t>风险管控措施，保障必要的经费投入，将</w:t>
      </w:r>
      <w:r>
        <w:rPr>
          <w:rFonts w:hint="eastAsia" w:eastAsia="仿宋_GB2312"/>
          <w:sz w:val="32"/>
          <w:szCs w:val="32"/>
        </w:rPr>
        <w:t>安全</w:t>
      </w:r>
      <w:r>
        <w:rPr>
          <w:rFonts w:eastAsia="仿宋_GB2312"/>
          <w:sz w:val="32"/>
          <w:szCs w:val="32"/>
        </w:rPr>
        <w:t>风险控制指标控制在可接受范围内</w:t>
      </w:r>
      <w:r>
        <w:rPr>
          <w:rFonts w:hint="eastAsia" w:eastAsia="仿宋_GB2312"/>
          <w:sz w:val="32"/>
          <w:szCs w:val="32"/>
        </w:rPr>
        <w:t>；</w:t>
      </w:r>
    </w:p>
    <w:p w14:paraId="132D001B">
      <w:pPr>
        <w:spacing w:line="600"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）将从业人员所能接触到的</w:t>
      </w:r>
      <w:r>
        <w:rPr>
          <w:rFonts w:hint="eastAsia" w:eastAsia="仿宋_GB2312"/>
          <w:sz w:val="32"/>
          <w:szCs w:val="32"/>
        </w:rPr>
        <w:t>安全</w:t>
      </w:r>
      <w:r>
        <w:rPr>
          <w:rFonts w:eastAsia="仿宋_GB2312"/>
          <w:sz w:val="32"/>
          <w:szCs w:val="32"/>
        </w:rPr>
        <w:t>风险情况及应急措施等信息通过风险告知书等形式告知从业人员，并通过安全生产培训使从业人员掌握管控该风险的能力。对于进入风险工作区域的外来人员，应当通过公告提醒、讲解宣传等方式进行告知，督促指导其做好安全防范</w:t>
      </w:r>
      <w:r>
        <w:rPr>
          <w:rFonts w:hint="eastAsia" w:eastAsia="仿宋_GB2312"/>
          <w:sz w:val="32"/>
          <w:szCs w:val="32"/>
        </w:rPr>
        <w:t>；</w:t>
      </w:r>
    </w:p>
    <w:p w14:paraId="16E1FE1C">
      <w:pPr>
        <w:spacing w:line="600"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）在较大及以上级别安全风险的工作场所设置明显的安全风险告知牌和警示标志</w:t>
      </w:r>
      <w:r>
        <w:rPr>
          <w:rFonts w:hint="eastAsia" w:eastAsia="仿宋_GB2312"/>
          <w:sz w:val="32"/>
          <w:szCs w:val="32"/>
        </w:rPr>
        <w:t>，</w:t>
      </w:r>
      <w:r>
        <w:rPr>
          <w:rFonts w:eastAsia="仿宋_GB2312"/>
          <w:sz w:val="32"/>
          <w:szCs w:val="32"/>
        </w:rPr>
        <w:t>标明危险特性、可能发生的事件后果、安全防范和应急措施</w:t>
      </w:r>
      <w:r>
        <w:rPr>
          <w:rFonts w:hint="eastAsia" w:eastAsia="仿宋_GB2312"/>
          <w:sz w:val="32"/>
          <w:szCs w:val="32"/>
        </w:rPr>
        <w:t>；</w:t>
      </w:r>
    </w:p>
    <w:p w14:paraId="7DA6FD0D">
      <w:pPr>
        <w:spacing w:line="600" w:lineRule="exact"/>
        <w:ind w:firstLine="640" w:firstLineChars="200"/>
        <w:jc w:val="both"/>
        <w:rPr>
          <w:rFonts w:eastAsia="仿宋_GB2312"/>
          <w:sz w:val="32"/>
          <w:szCs w:val="32"/>
        </w:rPr>
      </w:pPr>
      <w:r>
        <w:rPr>
          <w:rFonts w:hint="eastAsia" w:eastAsia="仿宋_GB2312"/>
          <w:sz w:val="32"/>
          <w:szCs w:val="32"/>
        </w:rPr>
        <w:t>（四）</w:t>
      </w:r>
      <w:r>
        <w:rPr>
          <w:rFonts w:eastAsia="仿宋_GB2312"/>
          <w:sz w:val="32"/>
          <w:szCs w:val="32"/>
        </w:rPr>
        <w:t>如实记录</w:t>
      </w:r>
      <w:r>
        <w:rPr>
          <w:rFonts w:hint="eastAsia" w:eastAsia="仿宋_GB2312"/>
          <w:sz w:val="32"/>
          <w:szCs w:val="32"/>
        </w:rPr>
        <w:t>安全</w:t>
      </w:r>
      <w:r>
        <w:rPr>
          <w:rFonts w:eastAsia="仿宋_GB2312"/>
          <w:sz w:val="32"/>
          <w:szCs w:val="32"/>
        </w:rPr>
        <w:t>风险辨识、评估、管控等工作痕迹和信息，并规范管理档案。对评估确定的重大风险应当单独登记，建立清单和专项档案，规范管理。</w:t>
      </w:r>
    </w:p>
    <w:p w14:paraId="12BDE611">
      <w:pPr>
        <w:spacing w:line="600" w:lineRule="exact"/>
        <w:ind w:firstLine="640" w:firstLineChars="200"/>
        <w:jc w:val="both"/>
        <w:rPr>
          <w:rFonts w:eastAsia="仿宋_GB2312"/>
          <w:sz w:val="32"/>
          <w:szCs w:val="32"/>
        </w:rPr>
      </w:pPr>
      <w:r>
        <w:rPr>
          <w:rFonts w:eastAsia="仿宋_GB2312"/>
          <w:sz w:val="32"/>
          <w:szCs w:val="32"/>
        </w:rPr>
        <w:t>管理部门应当及时跟踪</w:t>
      </w:r>
      <w:r>
        <w:rPr>
          <w:rFonts w:hint="eastAsia" w:eastAsia="仿宋_GB2312"/>
          <w:sz w:val="32"/>
          <w:szCs w:val="32"/>
        </w:rPr>
        <w:t>安全</w:t>
      </w:r>
      <w:r>
        <w:rPr>
          <w:rFonts w:eastAsia="仿宋_GB2312"/>
          <w:sz w:val="32"/>
          <w:szCs w:val="32"/>
        </w:rPr>
        <w:t>风险变化情况，对新风险、新情况及时编制安全管理标准或者规范，完善</w:t>
      </w:r>
      <w:r>
        <w:rPr>
          <w:rFonts w:hint="eastAsia" w:eastAsia="仿宋_GB2312"/>
          <w:sz w:val="32"/>
          <w:szCs w:val="32"/>
        </w:rPr>
        <w:t>安全</w:t>
      </w:r>
      <w:r>
        <w:rPr>
          <w:rFonts w:eastAsia="仿宋_GB2312"/>
          <w:sz w:val="32"/>
          <w:szCs w:val="32"/>
        </w:rPr>
        <w:t>风险防控措施。</w:t>
      </w:r>
    </w:p>
    <w:p w14:paraId="7B2B8683">
      <w:pPr>
        <w:spacing w:line="600" w:lineRule="exact"/>
        <w:ind w:firstLine="640" w:firstLineChars="200"/>
        <w:outlineLvl w:val="0"/>
        <w:rPr>
          <w:rFonts w:hint="eastAsia" w:ascii="黑体" w:hAnsi="黑体" w:eastAsia="黑体" w:cs="黑体"/>
          <w:sz w:val="32"/>
          <w:szCs w:val="32"/>
        </w:rPr>
      </w:pPr>
      <w:r>
        <w:rPr>
          <w:rFonts w:ascii="黑体" w:hAnsi="黑体" w:eastAsia="黑体" w:cs="黑体"/>
          <w:sz w:val="32"/>
          <w:szCs w:val="32"/>
        </w:rPr>
        <w:t>第十</w:t>
      </w:r>
      <w:r>
        <w:rPr>
          <w:rFonts w:hint="eastAsia" w:ascii="黑体" w:hAnsi="黑体" w:eastAsia="黑体" w:cs="黑体"/>
          <w:sz w:val="32"/>
          <w:szCs w:val="32"/>
        </w:rPr>
        <w:t>一</w:t>
      </w:r>
      <w:r>
        <w:rPr>
          <w:rFonts w:ascii="黑体" w:hAnsi="黑体" w:eastAsia="黑体" w:cs="黑体"/>
          <w:sz w:val="32"/>
          <w:szCs w:val="32"/>
        </w:rPr>
        <w:t>条（风险报送）</w:t>
      </w:r>
    </w:p>
    <w:p w14:paraId="30DF0DEC">
      <w:pPr>
        <w:spacing w:line="600" w:lineRule="exact"/>
        <w:ind w:firstLine="640" w:firstLineChars="200"/>
        <w:jc w:val="both"/>
        <w:rPr>
          <w:rFonts w:eastAsia="仿宋_GB2312"/>
          <w:sz w:val="32"/>
          <w:szCs w:val="32"/>
        </w:rPr>
      </w:pPr>
      <w:r>
        <w:rPr>
          <w:rFonts w:eastAsia="仿宋_GB2312"/>
          <w:sz w:val="32"/>
          <w:szCs w:val="32"/>
        </w:rPr>
        <w:t>生产经营单位应当</w:t>
      </w:r>
      <w:r>
        <w:rPr>
          <w:rFonts w:hint="eastAsia" w:eastAsia="仿宋_GB2312"/>
          <w:sz w:val="32"/>
          <w:szCs w:val="32"/>
        </w:rPr>
        <w:t>加强安全生产信息化管理，运用数字技术开展安全风险管控工作，按照要求向管理部门实时、准确、完整报送以下安全生产数据：</w:t>
      </w:r>
    </w:p>
    <w:p w14:paraId="71647782">
      <w:pPr>
        <w:spacing w:line="600" w:lineRule="exact"/>
        <w:ind w:firstLine="640" w:firstLineChars="200"/>
        <w:jc w:val="both"/>
        <w:rPr>
          <w:rFonts w:eastAsia="仿宋_GB2312"/>
          <w:sz w:val="32"/>
          <w:szCs w:val="32"/>
        </w:rPr>
      </w:pPr>
      <w:r>
        <w:rPr>
          <w:rFonts w:eastAsia="仿宋_GB2312"/>
          <w:sz w:val="32"/>
          <w:szCs w:val="32"/>
        </w:rPr>
        <w:t>（一）安全生产基础情况数据；</w:t>
      </w:r>
    </w:p>
    <w:p w14:paraId="2079C380">
      <w:pPr>
        <w:spacing w:line="600" w:lineRule="exact"/>
        <w:ind w:firstLine="640" w:firstLineChars="200"/>
        <w:jc w:val="both"/>
        <w:rPr>
          <w:rFonts w:eastAsia="仿宋_GB2312"/>
          <w:sz w:val="32"/>
          <w:szCs w:val="32"/>
        </w:rPr>
      </w:pPr>
      <w:r>
        <w:rPr>
          <w:rFonts w:eastAsia="仿宋_GB2312"/>
          <w:sz w:val="32"/>
          <w:szCs w:val="32"/>
        </w:rPr>
        <w:t>（二）</w:t>
      </w:r>
      <w:r>
        <w:rPr>
          <w:rFonts w:hint="eastAsia" w:eastAsia="仿宋_GB2312"/>
          <w:sz w:val="32"/>
          <w:szCs w:val="32"/>
        </w:rPr>
        <w:t>安全</w:t>
      </w:r>
      <w:r>
        <w:rPr>
          <w:rFonts w:eastAsia="仿宋_GB2312"/>
          <w:sz w:val="32"/>
          <w:szCs w:val="32"/>
        </w:rPr>
        <w:t>风险管控数据；</w:t>
      </w:r>
    </w:p>
    <w:p w14:paraId="7BB243B2">
      <w:pPr>
        <w:spacing w:line="600" w:lineRule="exact"/>
        <w:ind w:firstLine="640" w:firstLineChars="200"/>
        <w:jc w:val="both"/>
        <w:rPr>
          <w:rFonts w:eastAsia="仿宋_GB2312"/>
          <w:sz w:val="32"/>
          <w:szCs w:val="32"/>
        </w:rPr>
      </w:pPr>
      <w:r>
        <w:rPr>
          <w:rFonts w:eastAsia="仿宋_GB2312"/>
          <w:sz w:val="32"/>
          <w:szCs w:val="32"/>
        </w:rPr>
        <w:t>（三）重要部位和重点工艺装置感知数据；</w:t>
      </w:r>
    </w:p>
    <w:p w14:paraId="5C3D378D">
      <w:pPr>
        <w:spacing w:line="600" w:lineRule="exact"/>
        <w:ind w:firstLine="640" w:firstLineChars="200"/>
        <w:jc w:val="both"/>
        <w:rPr>
          <w:rFonts w:eastAsia="仿宋_GB2312"/>
          <w:sz w:val="32"/>
          <w:szCs w:val="32"/>
        </w:rPr>
      </w:pPr>
      <w:r>
        <w:rPr>
          <w:rFonts w:eastAsia="仿宋_GB2312"/>
          <w:sz w:val="32"/>
          <w:szCs w:val="32"/>
        </w:rPr>
        <w:t>（四）安全生产视频监控和预警数据。</w:t>
      </w:r>
    </w:p>
    <w:p w14:paraId="07A2A97D">
      <w:pPr>
        <w:spacing w:line="600" w:lineRule="exact"/>
        <w:ind w:firstLine="640" w:firstLineChars="200"/>
        <w:jc w:val="both"/>
        <w:rPr>
          <w:rFonts w:eastAsia="仿宋_GB2312"/>
          <w:sz w:val="32"/>
          <w:szCs w:val="32"/>
        </w:rPr>
      </w:pPr>
      <w:r>
        <w:rPr>
          <w:rFonts w:hint="eastAsia" w:eastAsia="仿宋_GB2312"/>
          <w:sz w:val="32"/>
          <w:szCs w:val="32"/>
        </w:rPr>
        <w:t>市交通委</w:t>
      </w:r>
      <w:r>
        <w:rPr>
          <w:rFonts w:eastAsia="仿宋_GB2312"/>
          <w:sz w:val="32"/>
          <w:szCs w:val="32"/>
        </w:rPr>
        <w:t>应当对前款规定的数据报送的范围、要素和路径等制定指南或者规范。</w:t>
      </w:r>
    </w:p>
    <w:p w14:paraId="0BE2D218">
      <w:pPr>
        <w:spacing w:line="600" w:lineRule="exact"/>
        <w:ind w:firstLine="640" w:firstLineChars="200"/>
        <w:jc w:val="both"/>
        <w:outlineLvl w:val="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十二</w:t>
      </w:r>
      <w:r>
        <w:rPr>
          <w:rFonts w:ascii="黑体" w:hAnsi="黑体" w:eastAsia="黑体" w:cs="黑体"/>
          <w:sz w:val="32"/>
          <w:szCs w:val="32"/>
        </w:rPr>
        <w:t>条（</w:t>
      </w:r>
      <w:r>
        <w:rPr>
          <w:rFonts w:hint="eastAsia" w:ascii="黑体" w:hAnsi="黑体" w:eastAsia="黑体" w:cs="黑体"/>
          <w:sz w:val="32"/>
          <w:szCs w:val="32"/>
        </w:rPr>
        <w:t>研判预警</w:t>
      </w:r>
      <w:r>
        <w:rPr>
          <w:rFonts w:ascii="黑体" w:hAnsi="黑体" w:eastAsia="黑体" w:cs="黑体"/>
          <w:sz w:val="32"/>
          <w:szCs w:val="32"/>
        </w:rPr>
        <w:t>）</w:t>
      </w:r>
    </w:p>
    <w:p w14:paraId="0FD3311B">
      <w:pPr>
        <w:spacing w:line="600" w:lineRule="exact"/>
        <w:ind w:firstLine="640" w:firstLineChars="200"/>
        <w:jc w:val="both"/>
        <w:rPr>
          <w:rFonts w:eastAsia="仿宋_GB2312"/>
          <w:sz w:val="32"/>
          <w:szCs w:val="32"/>
        </w:rPr>
      </w:pPr>
      <w:r>
        <w:rPr>
          <w:rFonts w:eastAsia="仿宋_GB2312"/>
          <w:sz w:val="32"/>
          <w:szCs w:val="32"/>
        </w:rPr>
        <w:t>管理部门应当将管辖范围内的生产经营单位安全风险管理工作纳入日常监督管理，根据上报的安全风险进行分析研判</w:t>
      </w:r>
      <w:r>
        <w:rPr>
          <w:rFonts w:hint="eastAsia" w:eastAsia="仿宋_GB2312"/>
          <w:sz w:val="32"/>
          <w:szCs w:val="32"/>
        </w:rPr>
        <w:t>，</w:t>
      </w:r>
      <w:r>
        <w:rPr>
          <w:rFonts w:eastAsia="仿宋_GB2312"/>
          <w:sz w:val="32"/>
          <w:szCs w:val="32"/>
        </w:rPr>
        <w:t>及时发布预警提示信息，完善</w:t>
      </w:r>
      <w:r>
        <w:rPr>
          <w:rFonts w:hint="eastAsia" w:eastAsia="仿宋_GB2312"/>
          <w:sz w:val="32"/>
          <w:szCs w:val="32"/>
        </w:rPr>
        <w:t>安全</w:t>
      </w:r>
      <w:r>
        <w:rPr>
          <w:rFonts w:eastAsia="仿宋_GB2312"/>
          <w:sz w:val="32"/>
          <w:szCs w:val="32"/>
        </w:rPr>
        <w:t>风险防控信息交流和成果运用，强化综合管控和源头治理。</w:t>
      </w:r>
    </w:p>
    <w:p w14:paraId="052CCAEB">
      <w:pPr>
        <w:spacing w:line="60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第十三条</w:t>
      </w:r>
      <w:r>
        <w:rPr>
          <w:rFonts w:ascii="黑体" w:hAnsi="黑体" w:eastAsia="黑体" w:cs="黑体"/>
          <w:sz w:val="32"/>
          <w:szCs w:val="32"/>
        </w:rPr>
        <w:t>（联防联控）</w:t>
      </w:r>
    </w:p>
    <w:p w14:paraId="05F715B8">
      <w:pPr>
        <w:spacing w:line="600" w:lineRule="exact"/>
        <w:ind w:firstLine="640" w:firstLineChars="200"/>
        <w:jc w:val="both"/>
        <w:rPr>
          <w:rFonts w:eastAsia="仿宋_GB2312"/>
          <w:sz w:val="32"/>
          <w:szCs w:val="32"/>
        </w:rPr>
      </w:pPr>
      <w:r>
        <w:rPr>
          <w:rFonts w:hint="eastAsia" w:eastAsia="仿宋_GB2312"/>
          <w:sz w:val="32"/>
          <w:szCs w:val="32"/>
        </w:rPr>
        <w:t>管理部门应当</w:t>
      </w:r>
      <w:r>
        <w:rPr>
          <w:rFonts w:eastAsia="仿宋_GB2312"/>
          <w:sz w:val="32"/>
          <w:szCs w:val="32"/>
        </w:rPr>
        <w:t>结合行业、领域的实际情况，组织相关专业机构或者专家定期开展安全风险评估，加强对复合风险、潜在风险、风险耦合、风险周期等开展研究</w:t>
      </w:r>
      <w:r>
        <w:rPr>
          <w:rFonts w:hint="eastAsia" w:eastAsia="仿宋_GB2312"/>
          <w:sz w:val="32"/>
          <w:szCs w:val="32"/>
        </w:rPr>
        <w:t>，</w:t>
      </w:r>
      <w:r>
        <w:rPr>
          <w:rFonts w:eastAsia="仿宋_GB2312"/>
          <w:sz w:val="32"/>
          <w:szCs w:val="32"/>
        </w:rPr>
        <w:t>落实风险防控责任，对位置相邻、业态相近、行业相似的生产经营单位实施联防联控。</w:t>
      </w:r>
    </w:p>
    <w:p w14:paraId="7F84873E">
      <w:pPr>
        <w:spacing w:line="600" w:lineRule="exact"/>
        <w:ind w:firstLine="640" w:firstLineChars="200"/>
        <w:jc w:val="both"/>
        <w:rPr>
          <w:rFonts w:eastAsia="仿宋_GB2312"/>
          <w:sz w:val="32"/>
          <w:szCs w:val="32"/>
        </w:rPr>
      </w:pPr>
      <w:r>
        <w:rPr>
          <w:rFonts w:hint="eastAsia" w:eastAsia="仿宋_GB2312"/>
          <w:sz w:val="32"/>
          <w:szCs w:val="32"/>
        </w:rPr>
        <w:t>鼓励本市交通行业大型集团企业</w:t>
      </w:r>
      <w:r>
        <w:rPr>
          <w:rFonts w:eastAsia="仿宋_GB2312"/>
          <w:sz w:val="32"/>
          <w:szCs w:val="32"/>
        </w:rPr>
        <w:t>在遴选供应商和合作方时，综合考核供应商、合作方的</w:t>
      </w:r>
      <w:r>
        <w:rPr>
          <w:rFonts w:hint="eastAsia" w:eastAsia="仿宋_GB2312"/>
          <w:sz w:val="32"/>
          <w:szCs w:val="32"/>
        </w:rPr>
        <w:t>安全</w:t>
      </w:r>
      <w:r>
        <w:rPr>
          <w:rFonts w:eastAsia="仿宋_GB2312"/>
          <w:sz w:val="32"/>
          <w:szCs w:val="32"/>
        </w:rPr>
        <w:t>风险管控情况，带动上下游生产经营单位安全生产管理水平的提升。</w:t>
      </w:r>
    </w:p>
    <w:p w14:paraId="27F2E20A">
      <w:pPr>
        <w:spacing w:line="60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第十四条（风险分布图）</w:t>
      </w:r>
    </w:p>
    <w:p w14:paraId="3AF860C0">
      <w:pPr>
        <w:spacing w:line="600" w:lineRule="exact"/>
        <w:ind w:firstLine="640" w:firstLineChars="200"/>
        <w:jc w:val="both"/>
        <w:rPr>
          <w:rFonts w:eastAsia="仿宋_GB2312"/>
          <w:sz w:val="32"/>
          <w:szCs w:val="32"/>
        </w:rPr>
      </w:pPr>
      <w:r>
        <w:rPr>
          <w:rFonts w:hint="eastAsia" w:eastAsia="仿宋_GB2312"/>
          <w:sz w:val="32"/>
          <w:szCs w:val="32"/>
        </w:rPr>
        <w:t>管理</w:t>
      </w:r>
      <w:r>
        <w:rPr>
          <w:rFonts w:eastAsia="仿宋_GB2312"/>
          <w:sz w:val="32"/>
          <w:szCs w:val="32"/>
        </w:rPr>
        <w:t>部门应当依托大数据资源平台实现安全风险信息的汇总，绘制</w:t>
      </w:r>
      <w:r>
        <w:rPr>
          <w:rFonts w:hint="eastAsia" w:eastAsia="仿宋_GB2312"/>
          <w:sz w:val="32"/>
          <w:szCs w:val="32"/>
        </w:rPr>
        <w:t>、</w:t>
      </w:r>
      <w:r>
        <w:rPr>
          <w:rFonts w:eastAsia="仿宋_GB2312"/>
          <w:sz w:val="32"/>
          <w:szCs w:val="32"/>
        </w:rPr>
        <w:t>更新安全风险</w:t>
      </w:r>
      <w:r>
        <w:rPr>
          <w:rFonts w:hint="eastAsia" w:eastAsia="仿宋_GB2312"/>
          <w:sz w:val="32"/>
          <w:szCs w:val="32"/>
        </w:rPr>
        <w:t>四色</w:t>
      </w:r>
      <w:r>
        <w:rPr>
          <w:rFonts w:eastAsia="仿宋_GB2312"/>
          <w:sz w:val="32"/>
          <w:szCs w:val="32"/>
        </w:rPr>
        <w:t>分布图</w:t>
      </w:r>
      <w:r>
        <w:rPr>
          <w:rFonts w:hint="eastAsia" w:eastAsia="仿宋_GB2312"/>
          <w:sz w:val="32"/>
          <w:szCs w:val="32"/>
        </w:rPr>
        <w:t>，充分运用数字化、智能化手段对安全风险实时跟踪、实时管控。</w:t>
      </w:r>
    </w:p>
    <w:p w14:paraId="455FD78F">
      <w:pPr>
        <w:spacing w:line="600" w:lineRule="exact"/>
        <w:ind w:firstLine="640" w:firstLineChars="200"/>
        <w:outlineLvl w:val="0"/>
        <w:rPr>
          <w:rFonts w:hint="eastAsia" w:ascii="黑体" w:hAnsi="黑体" w:eastAsia="黑体" w:cs="黑体"/>
          <w:sz w:val="32"/>
          <w:szCs w:val="32"/>
        </w:rPr>
      </w:pPr>
      <w:r>
        <w:rPr>
          <w:rFonts w:ascii="黑体" w:hAnsi="黑体" w:eastAsia="黑体" w:cs="黑体"/>
          <w:sz w:val="32"/>
          <w:szCs w:val="32"/>
        </w:rPr>
        <w:t>第十</w:t>
      </w:r>
      <w:r>
        <w:rPr>
          <w:rFonts w:hint="eastAsia" w:ascii="黑体" w:hAnsi="黑体" w:eastAsia="黑体" w:cs="黑体"/>
          <w:sz w:val="32"/>
          <w:szCs w:val="32"/>
        </w:rPr>
        <w:t>五</w:t>
      </w:r>
      <w:r>
        <w:rPr>
          <w:rFonts w:ascii="黑体" w:hAnsi="黑体" w:eastAsia="黑体" w:cs="黑体"/>
          <w:sz w:val="32"/>
          <w:szCs w:val="32"/>
        </w:rPr>
        <w:t>条（小微企业）</w:t>
      </w:r>
    </w:p>
    <w:p w14:paraId="6FA391A2">
      <w:pPr>
        <w:spacing w:line="600" w:lineRule="exact"/>
        <w:ind w:firstLine="640" w:firstLineChars="200"/>
        <w:rPr>
          <w:rFonts w:eastAsia="仿宋_GB2312"/>
          <w:sz w:val="32"/>
          <w:szCs w:val="32"/>
        </w:rPr>
      </w:pPr>
      <w:r>
        <w:rPr>
          <w:rFonts w:eastAsia="仿宋_GB2312"/>
          <w:sz w:val="32"/>
          <w:szCs w:val="32"/>
        </w:rPr>
        <w:t>对于经营规模较小、安全管理体系相对简单、安全管理能力相对较弱的</w:t>
      </w:r>
      <w:r>
        <w:rPr>
          <w:rFonts w:hint="eastAsia" w:eastAsia="仿宋_GB2312"/>
          <w:sz w:val="32"/>
          <w:szCs w:val="32"/>
        </w:rPr>
        <w:t>小型、微型生产经营单位</w:t>
      </w:r>
      <w:r>
        <w:rPr>
          <w:rFonts w:eastAsia="仿宋_GB2312"/>
          <w:sz w:val="32"/>
          <w:szCs w:val="32"/>
        </w:rPr>
        <w:t>，管理部门可以视情制定安全风险分级管控实施指南</w:t>
      </w:r>
      <w:r>
        <w:rPr>
          <w:rFonts w:hint="eastAsia" w:eastAsia="仿宋_GB2312"/>
          <w:sz w:val="32"/>
          <w:szCs w:val="32"/>
        </w:rPr>
        <w:t>，</w:t>
      </w:r>
      <w:r>
        <w:rPr>
          <w:rFonts w:eastAsia="仿宋_GB2312"/>
          <w:sz w:val="32"/>
          <w:szCs w:val="32"/>
        </w:rPr>
        <w:t>指导小型、微型</w:t>
      </w:r>
      <w:r>
        <w:rPr>
          <w:rFonts w:hint="eastAsia" w:eastAsia="仿宋_GB2312"/>
          <w:sz w:val="32"/>
          <w:szCs w:val="32"/>
        </w:rPr>
        <w:t>生产经营单位</w:t>
      </w:r>
      <w:r>
        <w:rPr>
          <w:rFonts w:eastAsia="仿宋_GB2312"/>
          <w:sz w:val="32"/>
          <w:szCs w:val="32"/>
        </w:rPr>
        <w:t>有效开展安全风险辨识、评估、管控工作。</w:t>
      </w:r>
    </w:p>
    <w:p w14:paraId="125669CE">
      <w:pPr>
        <w:spacing w:line="600" w:lineRule="exact"/>
        <w:ind w:firstLine="640" w:firstLineChars="200"/>
        <w:jc w:val="both"/>
        <w:outlineLvl w:val="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十六</w:t>
      </w:r>
      <w:r>
        <w:rPr>
          <w:rFonts w:ascii="黑体" w:hAnsi="黑体" w:eastAsia="黑体" w:cs="黑体"/>
          <w:sz w:val="32"/>
          <w:szCs w:val="32"/>
        </w:rPr>
        <w:t>条（社会监督）</w:t>
      </w:r>
    </w:p>
    <w:p w14:paraId="51C56F18">
      <w:pPr>
        <w:spacing w:line="600" w:lineRule="exact"/>
        <w:ind w:firstLine="640" w:firstLineChars="200"/>
        <w:jc w:val="both"/>
        <w:rPr>
          <w:rFonts w:eastAsia="仿宋_GB2312"/>
          <w:sz w:val="32"/>
          <w:szCs w:val="32"/>
        </w:rPr>
      </w:pPr>
      <w:r>
        <w:rPr>
          <w:rFonts w:eastAsia="仿宋_GB2312"/>
          <w:sz w:val="32"/>
          <w:szCs w:val="32"/>
        </w:rPr>
        <w:t>任何单位或者个人发现安全生产重大风险</w:t>
      </w:r>
      <w:r>
        <w:rPr>
          <w:rFonts w:hint="eastAsia" w:eastAsia="仿宋_GB2312"/>
          <w:sz w:val="32"/>
          <w:szCs w:val="32"/>
        </w:rPr>
        <w:t>或者</w:t>
      </w:r>
      <w:r>
        <w:rPr>
          <w:rFonts w:eastAsia="仿宋_GB2312"/>
          <w:sz w:val="32"/>
          <w:szCs w:val="32"/>
        </w:rPr>
        <w:t>生产经营单位安全风险管理违法违规行为</w:t>
      </w:r>
      <w:r>
        <w:rPr>
          <w:rFonts w:hint="eastAsia" w:eastAsia="仿宋_GB2312"/>
          <w:sz w:val="32"/>
          <w:szCs w:val="32"/>
        </w:rPr>
        <w:t>的</w:t>
      </w:r>
      <w:r>
        <w:rPr>
          <w:rFonts w:eastAsia="仿宋_GB2312"/>
          <w:sz w:val="32"/>
          <w:szCs w:val="32"/>
        </w:rPr>
        <w:t>，均有权向生产经营单位或者管理部门投诉或者举报。</w:t>
      </w:r>
    </w:p>
    <w:p w14:paraId="41765314">
      <w:pPr>
        <w:spacing w:line="600" w:lineRule="exact"/>
        <w:ind w:firstLine="640" w:firstLineChars="200"/>
        <w:jc w:val="both"/>
        <w:outlineLvl w:val="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十七</w:t>
      </w:r>
      <w:r>
        <w:rPr>
          <w:rFonts w:ascii="黑体" w:hAnsi="黑体" w:eastAsia="黑体" w:cs="黑体"/>
          <w:sz w:val="32"/>
          <w:szCs w:val="32"/>
        </w:rPr>
        <w:t>条（施行时间）</w:t>
      </w:r>
    </w:p>
    <w:p w14:paraId="092184CC">
      <w:pPr>
        <w:spacing w:line="600" w:lineRule="exact"/>
        <w:ind w:firstLine="640" w:firstLineChars="200"/>
        <w:jc w:val="both"/>
      </w:pPr>
      <w:r>
        <w:rPr>
          <w:rFonts w:eastAsia="仿宋_GB2312"/>
          <w:sz w:val="32"/>
          <w:szCs w:val="32"/>
        </w:rPr>
        <w:t>本办法自202</w:t>
      </w:r>
      <w:r>
        <w:rPr>
          <w:rFonts w:hint="eastAsia" w:eastAsia="仿宋_GB2312"/>
          <w:sz w:val="32"/>
          <w:szCs w:val="32"/>
        </w:rPr>
        <w:t>5</w:t>
      </w:r>
      <w:r>
        <w:rPr>
          <w:rFonts w:eastAsia="仿宋_GB2312"/>
          <w:sz w:val="32"/>
          <w:szCs w:val="32"/>
        </w:rPr>
        <w:t>年</w:t>
      </w:r>
      <w:r>
        <w:rPr>
          <w:rFonts w:hint="eastAsia" w:eastAsia="仿宋_GB2312"/>
          <w:sz w:val="32"/>
          <w:szCs w:val="32"/>
        </w:rPr>
        <w:t>X</w:t>
      </w:r>
      <w:r>
        <w:rPr>
          <w:rFonts w:eastAsia="仿宋_GB2312"/>
          <w:sz w:val="32"/>
          <w:szCs w:val="32"/>
        </w:rPr>
        <w:t>月</w:t>
      </w:r>
      <w:r>
        <w:rPr>
          <w:rFonts w:hint="eastAsia" w:eastAsia="仿宋_GB2312"/>
          <w:sz w:val="32"/>
          <w:szCs w:val="32"/>
        </w:rPr>
        <w:t>X</w:t>
      </w:r>
      <w:r>
        <w:rPr>
          <w:rFonts w:eastAsia="仿宋_GB2312"/>
          <w:sz w:val="32"/>
          <w:szCs w:val="32"/>
        </w:rPr>
        <w:t>日起施行，有效期至</w:t>
      </w:r>
      <w:r>
        <w:rPr>
          <w:rFonts w:hint="eastAsia" w:eastAsia="仿宋_GB2312"/>
          <w:sz w:val="32"/>
          <w:szCs w:val="32"/>
        </w:rPr>
        <w:t>202X</w:t>
      </w:r>
      <w:r>
        <w:rPr>
          <w:rFonts w:eastAsia="仿宋_GB2312"/>
          <w:sz w:val="32"/>
          <w:szCs w:val="32"/>
        </w:rPr>
        <w:t>年X月X日止。</w:t>
      </w:r>
    </w:p>
    <w:p w14:paraId="47ECF0D3">
      <w:pPr>
        <w:spacing w:line="580" w:lineRule="exact"/>
        <w:ind w:firstLine="480" w:firstLineChars="200"/>
        <w:jc w:val="both"/>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3F07">
    <w:pPr>
      <w:pStyle w:val="3"/>
    </w:pPr>
    <w:r>
      <mc:AlternateContent>
        <mc:Choice Requires="wps">
          <w:drawing>
            <wp:anchor distT="0" distB="0" distL="114300" distR="114300" simplePos="0" relativeHeight="251659264" behindDoc="0" locked="0" layoutInCell="1" allowOverlap="1">
              <wp:simplePos x="0" y="0"/>
              <wp:positionH relativeFrom="margin">
                <wp:posOffset>2324100</wp:posOffset>
              </wp:positionH>
              <wp:positionV relativeFrom="paragraph">
                <wp:posOffset>-1905</wp:posOffset>
              </wp:positionV>
              <wp:extent cx="922020" cy="274320"/>
              <wp:effectExtent l="0" t="0" r="11430" b="11430"/>
              <wp:wrapNone/>
              <wp:docPr id="2" name="文本框 2"/>
              <wp:cNvGraphicFramePr/>
              <a:graphic xmlns:a="http://schemas.openxmlformats.org/drawingml/2006/main">
                <a:graphicData uri="http://schemas.microsoft.com/office/word/2010/wordprocessingShape">
                  <wps:wsp>
                    <wps:cNvSpPr txBox="1"/>
                    <wps:spPr>
                      <a:xfrm>
                        <a:off x="0" y="0"/>
                        <a:ext cx="922020"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7352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3pt;margin-top:-0.15pt;height:21.6pt;width:72.6pt;mso-position-horizontal-relative:margin;z-index:251659264;mso-width-relative:page;mso-height-relative:page;" filled="f" stroked="f" coordsize="21600,21600" o:gfxdata="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kSqs2AAAAAgBAAAPAAAAAAAAAAEAIAAAACIAAABkcnMvZG93bnJldi54bWxQ&#10;SwECFAAUAAAACACHTuJAx6qHZzACAABVBAAADgAAAAAAAAABACAAAAAnAQAAZHJzL2Uyb0RvYy54&#10;bWxQSwUGAAAAAAYABgBZAQAAyQUAAAAA&#10;">
              <v:fill on="f" focussize="0,0"/>
              <v:stroke on="f" weight="0.5pt"/>
              <v:imagedata o:title=""/>
              <o:lock v:ext="edit" aspectratio="f"/>
              <v:textbox inset="0mm,0mm,0mm,0mm">
                <w:txbxContent>
                  <w:p w14:paraId="7A87352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D0ECA"/>
    <w:rsid w:val="001F6540"/>
    <w:rsid w:val="00324AA1"/>
    <w:rsid w:val="00513AF7"/>
    <w:rsid w:val="005E7C90"/>
    <w:rsid w:val="00802EEE"/>
    <w:rsid w:val="00910D80"/>
    <w:rsid w:val="00ED551D"/>
    <w:rsid w:val="00F12DE2"/>
    <w:rsid w:val="00F5772B"/>
    <w:rsid w:val="063362B9"/>
    <w:rsid w:val="095D0ECA"/>
    <w:rsid w:val="1767603B"/>
    <w:rsid w:val="283358E9"/>
    <w:rsid w:val="29F70495"/>
    <w:rsid w:val="4A965D14"/>
    <w:rsid w:val="677785A4"/>
    <w:rsid w:val="67EB3210"/>
    <w:rsid w:val="7C153E8C"/>
    <w:rsid w:val="7D6B3678"/>
    <w:rsid w:val="7E8F0EFE"/>
    <w:rsid w:val="7FFC9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iv"/>
    <w:basedOn w:val="1"/>
    <w:qFormat/>
    <w:uiPriority w:val="0"/>
    <w:pPr>
      <w:textAlignment w:val="baseline"/>
    </w:pPr>
  </w:style>
  <w:style w:type="character" w:customStyle="1" w:styleId="9">
    <w:name w:val="fulltext-wrap_navtiao"/>
    <w:basedOn w:val="7"/>
    <w:qFormat/>
    <w:uiPriority w:val="0"/>
    <w:rPr>
      <w:b/>
      <w:bCs/>
    </w:rPr>
  </w:style>
  <w:style w:type="character" w:customStyle="1" w:styleId="10">
    <w:name w:val="fulltext-wrap_fulltext_a"/>
    <w:basedOn w:val="7"/>
    <w:qFormat/>
    <w:uiPriority w:val="0"/>
    <w:rPr>
      <w:color w:val="218FC4"/>
    </w:rPr>
  </w:style>
  <w:style w:type="paragraph" w:customStyle="1" w:styleId="11">
    <w:name w:val="fulltext-wrap_fulltext_TiaoYinV2"/>
    <w:basedOn w:val="1"/>
    <w:qFormat/>
    <w:uiPriority w:val="0"/>
    <w:pPr>
      <w:spacing w:line="384" w:lineRule="auto"/>
    </w:pPr>
    <w:rPr>
      <w:b/>
      <w:bCs/>
      <w:color w:val="218FC4"/>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1227</Words>
  <Characters>1227</Characters>
  <Lines>64</Lines>
  <Paragraphs>51</Paragraphs>
  <TotalTime>0</TotalTime>
  <ScaleCrop>false</ScaleCrop>
  <LinksUpToDate>false</LinksUpToDate>
  <CharactersWithSpaces>2403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2025-10-15T11:01:00Z</dcterms:created>
  <dc:creator>李倩</dc:creator>
  <cp:lastModifiedBy>lenovo</cp:lastModifiedBy>
  <dcterms:modified xsi:type="dcterms:W3CDTF">2025-11-27T14:05:57Z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BB4A7E0812F0A9187F5C096931554054_43</vt:lpwstr>
  </property>
  <property fmtid="{D5CDD505-2E9C-101B-9397-08002B2CF9AE}" pid="4" name="KSOTemplateDocerSaveRecord">
    <vt:lpwstr>eyJoZGlkIjoiMzEwNTM5NzYwMDRjMzkwZTVkZjY2ODkwMGIxNGU0OTUiLCJ1c2VySWQiOiIyNzU3MDExNjMifQ==</vt:lpwstr>
  </property>
</Properties>
</file>