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rPr>
      </w:pPr>
    </w:p>
    <w:p>
      <w:pPr>
        <w:spacing w:before="156" w:beforeLines="50"/>
        <w:jc w:val="center"/>
        <w:rPr>
          <w:rFonts w:ascii="华文中宋" w:hAnsi="华文中宋" w:eastAsia="华文中宋" w:cs="Times New Roman"/>
          <w:b/>
          <w:sz w:val="40"/>
          <w:szCs w:val="40"/>
        </w:rPr>
      </w:pPr>
      <w:r>
        <w:rPr>
          <w:rFonts w:hint="eastAsia" w:ascii="华文中宋" w:hAnsi="华文中宋" w:eastAsia="华文中宋" w:cs="Times New Roman"/>
          <w:b/>
          <w:sz w:val="40"/>
          <w:szCs w:val="40"/>
        </w:rPr>
        <w:t>关于</w:t>
      </w:r>
      <w:r>
        <w:rPr>
          <w:rFonts w:ascii="华文中宋" w:hAnsi="华文中宋" w:eastAsia="华文中宋" w:cs="Times New Roman"/>
          <w:b/>
          <w:sz w:val="40"/>
          <w:szCs w:val="40"/>
        </w:rPr>
        <w:t>《</w:t>
      </w:r>
      <w:r>
        <w:rPr>
          <w:rFonts w:hint="eastAsia" w:ascii="华文中宋" w:hAnsi="华文中宋" w:eastAsia="华文中宋" w:cs="Times New Roman"/>
          <w:b/>
          <w:sz w:val="40"/>
          <w:szCs w:val="40"/>
        </w:rPr>
        <w:t>上海港口基础设施检测评估技术导则（征求意见稿）</w:t>
      </w:r>
      <w:r>
        <w:rPr>
          <w:rFonts w:ascii="华文中宋" w:hAnsi="华文中宋" w:eastAsia="华文中宋" w:cs="Times New Roman"/>
          <w:b/>
          <w:sz w:val="40"/>
          <w:szCs w:val="40"/>
        </w:rPr>
        <w:t>》</w:t>
      </w:r>
      <w:r>
        <w:rPr>
          <w:rFonts w:hint="eastAsia" w:ascii="华文中宋" w:hAnsi="华文中宋" w:eastAsia="华文中宋" w:cs="Times New Roman"/>
          <w:b/>
          <w:sz w:val="40"/>
          <w:szCs w:val="40"/>
        </w:rPr>
        <w:t>的起草说明</w:t>
      </w:r>
    </w:p>
    <w:p>
      <w:pPr>
        <w:spacing w:before="156" w:beforeLines="50"/>
        <w:jc w:val="center"/>
        <w:rPr>
          <w:rFonts w:ascii="华文中宋" w:hAnsi="华文中宋" w:eastAsia="华文中宋" w:cs="Times New Roman"/>
          <w:b/>
          <w:sz w:val="40"/>
          <w:szCs w:val="40"/>
        </w:rPr>
      </w:pPr>
    </w:p>
    <w:p>
      <w:pPr>
        <w:spacing w:line="600" w:lineRule="exact"/>
        <w:ind w:firstLine="640" w:firstLineChars="200"/>
        <w:rPr>
          <w:rFonts w:ascii="Times New Roman" w:hAnsi="Times New Roman" w:eastAsia="黑体"/>
          <w:sz w:val="32"/>
          <w:szCs w:val="32"/>
        </w:rPr>
      </w:pPr>
      <w:r>
        <w:rPr>
          <w:rFonts w:hint="eastAsia" w:ascii="Times New Roman" w:hAnsi="黑体" w:eastAsia="黑体"/>
          <w:sz w:val="32"/>
          <w:szCs w:val="32"/>
        </w:rPr>
        <w:t>一、起草过程</w:t>
      </w:r>
    </w:p>
    <w:p>
      <w:pPr>
        <w:spacing w:line="600" w:lineRule="exact"/>
        <w:ind w:firstLine="640" w:firstLineChars="200"/>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sz w:val="32"/>
          <w:szCs w:val="32"/>
        </w:rPr>
        <w:t>202</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lang w:val="en-US" w:eastAsia="zh-CN"/>
        </w:rPr>
        <w:t>6</w:t>
      </w:r>
      <w:r>
        <w:rPr>
          <w:rFonts w:hint="eastAsia" w:ascii="仿宋_GB2312" w:hAnsi="仿宋_GB2312" w:eastAsia="仿宋_GB2312" w:cs="仿宋_GB2312"/>
          <w:sz w:val="32"/>
          <w:szCs w:val="32"/>
        </w:rPr>
        <w:t>月，交通运输部发布202</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lang w:val="en-US" w:eastAsia="zh-CN"/>
        </w:rPr>
        <w:t>19</w:t>
      </w:r>
      <w:r>
        <w:rPr>
          <w:rFonts w:hint="eastAsia" w:ascii="仿宋_GB2312" w:hAnsi="仿宋_GB2312" w:eastAsia="仿宋_GB2312" w:cs="仿宋_GB2312"/>
          <w:sz w:val="32"/>
          <w:szCs w:val="32"/>
        </w:rPr>
        <w:t>号部令</w:t>
      </w:r>
      <w:r>
        <w:rPr>
          <w:rFonts w:hint="eastAsia" w:ascii="仿宋_GB2312" w:hAnsi="仿宋_GB2312" w:eastAsia="仿宋_GB2312" w:cs="仿宋_GB2312"/>
          <w:color w:val="000000"/>
          <w:kern w:val="0"/>
          <w:sz w:val="32"/>
          <w:szCs w:val="32"/>
        </w:rPr>
        <w:t>《港口基础设施维护管理规定》，</w:t>
      </w:r>
      <w:r>
        <w:rPr>
          <w:rFonts w:hint="eastAsia" w:ascii="仿宋_GB2312" w:hAnsi="仿宋_GB2312" w:eastAsia="仿宋_GB2312" w:cs="仿宋_GB2312"/>
          <w:color w:val="auto"/>
          <w:sz w:val="32"/>
          <w:szCs w:val="32"/>
        </w:rPr>
        <w:t>对港口基础设施维护工作提出了新的要求</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kern w:val="0"/>
          <w:sz w:val="32"/>
          <w:szCs w:val="32"/>
        </w:rPr>
        <w:t>加强和规范港口基础设施维护管理，保障港口安全稳定运行</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kern w:val="0"/>
          <w:sz w:val="32"/>
          <w:szCs w:val="32"/>
        </w:rPr>
        <w:t>同时</w:t>
      </w:r>
      <w:r>
        <w:rPr>
          <w:rFonts w:hint="eastAsia" w:ascii="仿宋_GB2312" w:hAnsi="仿宋_GB2312" w:eastAsia="仿宋_GB2312" w:cs="仿宋_GB2312"/>
          <w:color w:val="000000"/>
          <w:kern w:val="0"/>
          <w:sz w:val="32"/>
          <w:szCs w:val="32"/>
        </w:rPr>
        <w:t>，要求各省市交通运输主管部门在贯彻落实的同时，做好相关配套政策的制定实施工作。</w:t>
      </w:r>
    </w:p>
    <w:p>
      <w:pPr>
        <w:spacing w:line="60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为规范和指导上海港口基础设施维护工作，提高检测评估技术水平，</w:t>
      </w:r>
      <w:r>
        <w:rPr>
          <w:rFonts w:hint="eastAsia" w:ascii="仿宋_GB2312" w:hAnsi="仿宋_GB2312" w:eastAsia="仿宋_GB2312" w:cs="仿宋_GB2312"/>
          <w:sz w:val="32"/>
          <w:szCs w:val="32"/>
          <w:lang w:eastAsia="zh-CN"/>
        </w:rPr>
        <w:t>结合上海港口发展实际</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2024年6月</w:t>
      </w:r>
      <w:r>
        <w:rPr>
          <w:rFonts w:hint="eastAsia" w:ascii="仿宋_GB2312" w:hAnsi="仿宋_GB2312" w:eastAsia="仿宋_GB2312" w:cs="仿宋_GB2312"/>
          <w:sz w:val="32"/>
          <w:szCs w:val="32"/>
        </w:rPr>
        <w:t>上海市</w:t>
      </w:r>
      <w:r>
        <w:rPr>
          <w:rFonts w:hint="eastAsia" w:ascii="仿宋_GB2312" w:hAnsi="仿宋_GB2312" w:eastAsia="仿宋_GB2312" w:cs="仿宋_GB2312"/>
          <w:sz w:val="32"/>
          <w:szCs w:val="32"/>
          <w:lang w:eastAsia="zh-CN"/>
        </w:rPr>
        <w:t>交通委员会</w:t>
      </w:r>
      <w:r>
        <w:rPr>
          <w:rFonts w:hint="eastAsia" w:ascii="仿宋_GB2312" w:hAnsi="仿宋_GB2312" w:eastAsia="仿宋_GB2312" w:cs="仿宋_GB2312"/>
          <w:sz w:val="32"/>
          <w:szCs w:val="32"/>
          <w:lang w:val="en-US" w:eastAsia="zh-CN"/>
        </w:rPr>
        <w:t>组织有关单位，</w:t>
      </w:r>
      <w:r>
        <w:rPr>
          <w:rFonts w:hint="eastAsia" w:ascii="仿宋_GB2312" w:hAnsi="仿宋_GB2312" w:eastAsia="仿宋_GB2312" w:cs="仿宋_GB2312"/>
          <w:sz w:val="32"/>
          <w:szCs w:val="32"/>
        </w:rPr>
        <w:t>在《港口</w:t>
      </w:r>
      <w:r>
        <w:rPr>
          <w:rFonts w:hint="eastAsia" w:ascii="仿宋_GB2312" w:hAnsi="仿宋_GB2312" w:eastAsia="仿宋_GB2312" w:cs="仿宋_GB2312"/>
          <w:sz w:val="32"/>
          <w:szCs w:val="32"/>
          <w:lang w:val="en-US" w:eastAsia="zh-CN"/>
        </w:rPr>
        <w:t>基础</w:t>
      </w:r>
      <w:r>
        <w:rPr>
          <w:rFonts w:hint="eastAsia" w:ascii="仿宋_GB2312" w:hAnsi="仿宋_GB2312" w:eastAsia="仿宋_GB2312" w:cs="仿宋_GB2312"/>
          <w:sz w:val="32"/>
          <w:szCs w:val="32"/>
        </w:rPr>
        <w:t>设施维护技术规范》(JTS 310）、《港口基础设施维护管理规定》（中华人民共和国交通运输部令2022年第19号）</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lang w:val="en-US" w:eastAsia="zh-CN"/>
        </w:rPr>
        <w:t>上海港口基础设施维护管理办法</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（沪</w:t>
      </w:r>
      <w:r>
        <w:rPr>
          <w:rFonts w:hint="eastAsia" w:ascii="仿宋_GB2312" w:hAnsi="仿宋_GB2312" w:eastAsia="仿宋_GB2312" w:cs="仿宋_GB2312"/>
          <w:color w:val="auto"/>
          <w:sz w:val="32"/>
          <w:szCs w:val="32"/>
          <w:lang w:val="en-US" w:eastAsia="zh-CN"/>
        </w:rPr>
        <w:t>府办</w:t>
      </w:r>
      <w:r>
        <w:rPr>
          <w:rFonts w:hint="eastAsia" w:ascii="仿宋_GB2312" w:hAnsi="仿宋_GB2312" w:eastAsia="仿宋_GB2312" w:cs="仿宋_GB2312"/>
          <w:color w:val="auto"/>
          <w:sz w:val="32"/>
          <w:szCs w:val="32"/>
        </w:rPr>
        <w:t>规</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lang w:val="en-US" w:eastAsia="zh-CN"/>
        </w:rPr>
        <w:t>2024</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lang w:val="en-US" w:eastAsia="zh-CN"/>
        </w:rPr>
        <w:t>16</w:t>
      </w:r>
      <w:r>
        <w:rPr>
          <w:rFonts w:hint="eastAsia" w:ascii="仿宋_GB2312" w:hAnsi="仿宋_GB2312" w:eastAsia="仿宋_GB2312" w:cs="仿宋_GB2312"/>
          <w:color w:val="auto"/>
          <w:sz w:val="32"/>
          <w:szCs w:val="32"/>
        </w:rPr>
        <w:t>号）</w:t>
      </w:r>
      <w:r>
        <w:rPr>
          <w:rFonts w:hint="eastAsia" w:ascii="仿宋_GB2312" w:hAnsi="仿宋_GB2312" w:eastAsia="仿宋_GB2312" w:cs="仿宋_GB2312"/>
          <w:sz w:val="32"/>
          <w:szCs w:val="32"/>
        </w:rPr>
        <w:t>的基础上，</w:t>
      </w:r>
      <w:r>
        <w:rPr>
          <w:rFonts w:hint="eastAsia" w:ascii="仿宋_GB2312" w:hAnsi="仿宋_GB2312" w:eastAsia="仿宋_GB2312" w:cs="仿宋_GB2312"/>
          <w:sz w:val="32"/>
          <w:szCs w:val="32"/>
          <w:lang w:eastAsia="zh-CN"/>
        </w:rPr>
        <w:t>基于</w:t>
      </w:r>
      <w:r>
        <w:rPr>
          <w:rFonts w:hint="eastAsia" w:ascii="仿宋_GB2312" w:hAnsi="仿宋_GB2312" w:eastAsia="仿宋_GB2312" w:cs="仿宋_GB2312"/>
          <w:sz w:val="32"/>
          <w:szCs w:val="32"/>
        </w:rPr>
        <w:t>上海港口基础设施的特定发展历程、地域性特征、水文</w:t>
      </w:r>
      <w:r>
        <w:rPr>
          <w:rFonts w:hint="eastAsia" w:ascii="仿宋_GB2312" w:hAnsi="仿宋_GB2312" w:eastAsia="仿宋_GB2312" w:cs="仿宋_GB2312"/>
          <w:sz w:val="32"/>
          <w:szCs w:val="32"/>
          <w:lang w:eastAsia="zh-CN"/>
        </w:rPr>
        <w:t>特征</w:t>
      </w:r>
      <w:r>
        <w:rPr>
          <w:rFonts w:hint="eastAsia" w:ascii="仿宋_GB2312" w:hAnsi="仿宋_GB2312" w:eastAsia="仿宋_GB2312" w:cs="仿宋_GB2312"/>
          <w:sz w:val="32"/>
          <w:szCs w:val="32"/>
        </w:rPr>
        <w:t>及维护特点编制《上海港口基础设施检测评估技术导则》</w:t>
      </w:r>
      <w:r>
        <w:rPr>
          <w:rFonts w:hint="eastAsia" w:ascii="仿宋_GB2312" w:hAnsi="仿宋_GB2312" w:eastAsia="仿宋_GB2312" w:cs="仿宋_GB2312"/>
          <w:sz w:val="32"/>
          <w:szCs w:val="32"/>
          <w:lang w:val="zh-CN"/>
        </w:rPr>
        <w:t>，</w:t>
      </w:r>
      <w:r>
        <w:rPr>
          <w:rFonts w:hint="eastAsia" w:ascii="仿宋_GB2312" w:hAnsi="仿宋_GB2312" w:eastAsia="仿宋_GB2312" w:cs="仿宋_GB2312"/>
          <w:sz w:val="32"/>
          <w:szCs w:val="32"/>
        </w:rPr>
        <w:t>统一检测评估技术要求，</w:t>
      </w:r>
      <w:r>
        <w:rPr>
          <w:rFonts w:hint="eastAsia" w:ascii="仿宋_GB2312" w:hAnsi="仿宋_GB2312" w:eastAsia="仿宋_GB2312" w:cs="仿宋_GB2312"/>
          <w:sz w:val="32"/>
          <w:szCs w:val="32"/>
          <w:lang w:eastAsia="zh-CN"/>
        </w:rPr>
        <w:t>提高</w:t>
      </w:r>
      <w:r>
        <w:rPr>
          <w:rFonts w:hint="eastAsia" w:ascii="仿宋_GB2312" w:hAnsi="仿宋_GB2312" w:eastAsia="仿宋_GB2312" w:cs="仿宋_GB2312"/>
          <w:sz w:val="32"/>
          <w:szCs w:val="32"/>
        </w:rPr>
        <w:t>检测评估作业</w:t>
      </w:r>
      <w:r>
        <w:rPr>
          <w:rFonts w:hint="eastAsia" w:ascii="仿宋_GB2312" w:hAnsi="仿宋_GB2312" w:eastAsia="仿宋_GB2312" w:cs="仿宋_GB2312"/>
          <w:sz w:val="32"/>
          <w:szCs w:val="32"/>
          <w:lang w:eastAsia="zh-CN"/>
        </w:rPr>
        <w:t>的</w:t>
      </w:r>
      <w:r>
        <w:rPr>
          <w:rFonts w:hint="eastAsia" w:ascii="仿宋_GB2312" w:hAnsi="仿宋_GB2312" w:eastAsia="仿宋_GB2312" w:cs="仿宋_GB2312"/>
          <w:sz w:val="32"/>
          <w:szCs w:val="32"/>
        </w:rPr>
        <w:t>针对性和</w:t>
      </w:r>
      <w:r>
        <w:rPr>
          <w:rFonts w:hint="eastAsia" w:ascii="仿宋_GB2312" w:hAnsi="仿宋_GB2312" w:eastAsia="仿宋_GB2312" w:cs="仿宋_GB2312"/>
          <w:sz w:val="32"/>
          <w:szCs w:val="32"/>
          <w:lang w:eastAsia="zh-CN"/>
        </w:rPr>
        <w:t>可</w:t>
      </w:r>
      <w:r>
        <w:rPr>
          <w:rFonts w:hint="eastAsia" w:ascii="仿宋_GB2312" w:hAnsi="仿宋_GB2312" w:eastAsia="仿宋_GB2312" w:cs="仿宋_GB2312"/>
          <w:sz w:val="32"/>
          <w:szCs w:val="32"/>
        </w:rPr>
        <w:t>操作性，</w:t>
      </w:r>
      <w:r>
        <w:rPr>
          <w:rFonts w:hint="eastAsia" w:ascii="仿宋_GB2312" w:hAnsi="仿宋_GB2312" w:eastAsia="仿宋_GB2312" w:cs="仿宋_GB2312"/>
          <w:sz w:val="32"/>
          <w:szCs w:val="32"/>
          <w:lang w:eastAsia="zh-CN"/>
        </w:rPr>
        <w:t>促进</w:t>
      </w:r>
      <w:r>
        <w:rPr>
          <w:rFonts w:hint="eastAsia" w:ascii="仿宋_GB2312" w:hAnsi="仿宋_GB2312" w:eastAsia="仿宋_GB2312" w:cs="仿宋_GB2312"/>
          <w:sz w:val="32"/>
          <w:szCs w:val="32"/>
        </w:rPr>
        <w:t>港口基础设施维护管理的标准化与规范化。</w:t>
      </w:r>
    </w:p>
    <w:p>
      <w:pPr>
        <w:spacing w:line="600" w:lineRule="exact"/>
        <w:ind w:firstLine="640" w:firstLineChars="200"/>
        <w:rPr>
          <w:rFonts w:ascii="Times New Roman" w:hAnsi="Times New Roman" w:eastAsia="黑体"/>
          <w:sz w:val="32"/>
          <w:szCs w:val="32"/>
        </w:rPr>
      </w:pPr>
      <w:r>
        <w:rPr>
          <w:rFonts w:hint="eastAsia" w:ascii="Times New Roman" w:hAnsi="黑体" w:eastAsia="黑体"/>
          <w:sz w:val="32"/>
          <w:szCs w:val="32"/>
        </w:rPr>
        <w:t>二、主要内容</w:t>
      </w:r>
    </w:p>
    <w:p>
      <w:pPr>
        <w:spacing w:line="60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导则</w:t>
      </w:r>
      <w:r>
        <w:rPr>
          <w:rFonts w:hint="eastAsia" w:ascii="仿宋_GB2312" w:hAnsi="仿宋_GB2312" w:eastAsia="仿宋_GB2312" w:cs="仿宋_GB2312"/>
          <w:sz w:val="32"/>
          <w:szCs w:val="32"/>
        </w:rPr>
        <w:t>》包括总则、术语、基本</w:t>
      </w:r>
      <w:r>
        <w:rPr>
          <w:rFonts w:hint="eastAsia" w:ascii="仿宋_GB2312" w:hAnsi="仿宋_GB2312" w:eastAsia="仿宋_GB2312" w:cs="仿宋_GB2312"/>
          <w:sz w:val="32"/>
          <w:szCs w:val="32"/>
          <w:lang w:eastAsia="zh-CN"/>
        </w:rPr>
        <w:t>要求</w:t>
      </w:r>
      <w:r>
        <w:rPr>
          <w:rFonts w:hint="eastAsia" w:ascii="仿宋_GB2312" w:hAnsi="仿宋_GB2312" w:eastAsia="仿宋_GB2312" w:cs="仿宋_GB2312"/>
          <w:sz w:val="32"/>
          <w:szCs w:val="32"/>
        </w:rPr>
        <w:t>、定期测量观测、定期检</w:t>
      </w:r>
      <w:r>
        <w:rPr>
          <w:rFonts w:hint="eastAsia" w:ascii="仿宋_GB2312" w:hAnsi="仿宋_GB2312" w:eastAsia="仿宋_GB2312" w:cs="仿宋_GB2312"/>
          <w:sz w:val="32"/>
          <w:szCs w:val="32"/>
          <w:lang w:val="en-US" w:eastAsia="zh-CN"/>
        </w:rPr>
        <w:t>查</w:t>
      </w:r>
      <w:r>
        <w:rPr>
          <w:rFonts w:hint="eastAsia" w:ascii="仿宋_GB2312" w:hAnsi="仿宋_GB2312" w:eastAsia="仿宋_GB2312" w:cs="仿宋_GB2312"/>
          <w:sz w:val="32"/>
          <w:szCs w:val="32"/>
        </w:rPr>
        <w:t>、检测评估、技术档案及附录等</w:t>
      </w:r>
      <w:r>
        <w:rPr>
          <w:rFonts w:hint="eastAsia" w:ascii="仿宋_GB2312" w:hAnsi="仿宋_GB2312" w:eastAsia="仿宋_GB2312" w:cs="仿宋_GB2312"/>
          <w:sz w:val="32"/>
          <w:szCs w:val="32"/>
          <w:lang w:val="en-US" w:eastAsia="zh-CN"/>
        </w:rPr>
        <w:t>7章6个附录</w:t>
      </w:r>
      <w:r>
        <w:rPr>
          <w:rFonts w:hint="eastAsia" w:ascii="仿宋_GB2312" w:hAnsi="仿宋_GB2312" w:eastAsia="仿宋_GB2312" w:cs="仿宋_GB2312"/>
          <w:sz w:val="32"/>
          <w:szCs w:val="32"/>
        </w:rPr>
        <w:t>，主要内容如下：</w:t>
      </w:r>
    </w:p>
    <w:p>
      <w:pPr>
        <w:spacing w:line="60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第一章为总则，共</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条。主要明确了</w:t>
      </w:r>
      <w:r>
        <w:rPr>
          <w:rFonts w:hint="eastAsia" w:ascii="仿宋_GB2312" w:hAnsi="仿宋_GB2312" w:eastAsia="仿宋_GB2312" w:cs="仿宋_GB2312"/>
          <w:sz w:val="32"/>
          <w:szCs w:val="32"/>
          <w:lang w:val="en-US" w:eastAsia="zh-CN"/>
        </w:rPr>
        <w:t>编制目的</w:t>
      </w:r>
      <w:r>
        <w:rPr>
          <w:rFonts w:hint="eastAsia" w:ascii="仿宋_GB2312" w:hAnsi="仿宋_GB2312" w:eastAsia="仿宋_GB2312" w:cs="仿宋_GB2312"/>
          <w:sz w:val="32"/>
          <w:szCs w:val="32"/>
        </w:rPr>
        <w:t>、适用范围以及基本原则。</w:t>
      </w:r>
    </w:p>
    <w:p>
      <w:pPr>
        <w:spacing w:line="600" w:lineRule="exact"/>
        <w:ind w:firstLine="640" w:firstLineChars="200"/>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第二章为</w:t>
      </w:r>
      <w:r>
        <w:rPr>
          <w:rFonts w:hint="eastAsia" w:ascii="仿宋_GB2312" w:hAnsi="仿宋_GB2312" w:eastAsia="仿宋_GB2312" w:cs="仿宋_GB2312"/>
          <w:color w:val="000000"/>
          <w:kern w:val="0"/>
          <w:sz w:val="32"/>
          <w:szCs w:val="32"/>
          <w:lang w:val="en-US" w:eastAsia="zh-CN"/>
        </w:rPr>
        <w:t>术语</w:t>
      </w:r>
      <w:r>
        <w:rPr>
          <w:rFonts w:hint="eastAsia" w:ascii="仿宋_GB2312" w:hAnsi="仿宋_GB2312" w:eastAsia="仿宋_GB2312" w:cs="仿宋_GB2312"/>
          <w:color w:val="000000"/>
          <w:kern w:val="0"/>
          <w:sz w:val="32"/>
          <w:szCs w:val="32"/>
        </w:rPr>
        <w:t>，共5条。主要</w:t>
      </w:r>
      <w:r>
        <w:rPr>
          <w:rFonts w:hint="eastAsia" w:ascii="仿宋_GB2312" w:hAnsi="仿宋_GB2312" w:eastAsia="仿宋_GB2312" w:cs="仿宋_GB2312"/>
          <w:color w:val="000000"/>
          <w:kern w:val="0"/>
          <w:sz w:val="32"/>
          <w:szCs w:val="32"/>
          <w:lang w:val="en-US" w:eastAsia="zh-CN"/>
        </w:rPr>
        <w:t>解释了导则涉及的专有名词</w:t>
      </w:r>
      <w:r>
        <w:rPr>
          <w:rFonts w:hint="eastAsia" w:ascii="仿宋_GB2312" w:hAnsi="仿宋_GB2312" w:eastAsia="仿宋_GB2312" w:cs="仿宋_GB2312"/>
          <w:color w:val="000000"/>
          <w:kern w:val="0"/>
          <w:sz w:val="32"/>
          <w:szCs w:val="32"/>
        </w:rPr>
        <w:t>。</w:t>
      </w:r>
    </w:p>
    <w:p>
      <w:pPr>
        <w:spacing w:line="600" w:lineRule="exact"/>
        <w:ind w:firstLine="640" w:firstLineChars="200"/>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第三章为</w:t>
      </w:r>
      <w:r>
        <w:rPr>
          <w:rFonts w:hint="eastAsia" w:ascii="仿宋_GB2312" w:hAnsi="仿宋_GB2312" w:eastAsia="仿宋_GB2312" w:cs="仿宋_GB2312"/>
          <w:color w:val="000000"/>
          <w:kern w:val="0"/>
          <w:sz w:val="32"/>
          <w:szCs w:val="32"/>
          <w:lang w:val="en-US" w:eastAsia="zh-CN"/>
        </w:rPr>
        <w:t>基本要求</w:t>
      </w:r>
      <w:r>
        <w:rPr>
          <w:rFonts w:hint="eastAsia" w:ascii="仿宋_GB2312" w:hAnsi="仿宋_GB2312" w:eastAsia="仿宋_GB2312" w:cs="仿宋_GB2312"/>
          <w:color w:val="000000"/>
          <w:kern w:val="0"/>
          <w:sz w:val="32"/>
          <w:szCs w:val="32"/>
        </w:rPr>
        <w:t>，共</w:t>
      </w:r>
      <w:r>
        <w:rPr>
          <w:rFonts w:hint="eastAsia" w:ascii="仿宋_GB2312" w:hAnsi="仿宋_GB2312" w:eastAsia="仿宋_GB2312" w:cs="仿宋_GB2312"/>
          <w:color w:val="000000"/>
          <w:kern w:val="0"/>
          <w:sz w:val="32"/>
          <w:szCs w:val="32"/>
          <w:lang w:val="en-US" w:eastAsia="zh-CN"/>
        </w:rPr>
        <w:t>12</w:t>
      </w:r>
      <w:r>
        <w:rPr>
          <w:rFonts w:hint="eastAsia" w:ascii="仿宋_GB2312" w:hAnsi="仿宋_GB2312" w:eastAsia="仿宋_GB2312" w:cs="仿宋_GB2312"/>
          <w:color w:val="000000"/>
          <w:kern w:val="0"/>
          <w:sz w:val="32"/>
          <w:szCs w:val="32"/>
        </w:rPr>
        <w:t>条。主要规定了</w:t>
      </w:r>
      <w:r>
        <w:rPr>
          <w:rFonts w:hint="eastAsia" w:ascii="仿宋_GB2312" w:hAnsi="仿宋_GB2312" w:eastAsia="仿宋_GB2312" w:cs="仿宋_GB2312"/>
          <w:color w:val="000000"/>
          <w:kern w:val="0"/>
          <w:sz w:val="32"/>
          <w:szCs w:val="32"/>
          <w:lang w:val="en-US" w:eastAsia="zh-CN"/>
        </w:rPr>
        <w:t>检测评估的时间、内容、结果、责任单位、检测机构要求等共性问题。</w:t>
      </w:r>
    </w:p>
    <w:p>
      <w:pPr>
        <w:spacing w:line="600" w:lineRule="exact"/>
        <w:ind w:firstLine="640" w:firstLineChars="200"/>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第四章为</w:t>
      </w:r>
      <w:r>
        <w:rPr>
          <w:rFonts w:hint="eastAsia" w:ascii="仿宋_GB2312" w:hAnsi="仿宋_GB2312" w:eastAsia="仿宋_GB2312" w:cs="仿宋_GB2312"/>
          <w:color w:val="000000"/>
          <w:kern w:val="0"/>
          <w:sz w:val="32"/>
          <w:szCs w:val="32"/>
          <w:lang w:val="en-US" w:eastAsia="zh-CN"/>
        </w:rPr>
        <w:t>定期测量观测</w:t>
      </w:r>
      <w:r>
        <w:rPr>
          <w:rFonts w:hint="eastAsia" w:ascii="仿宋_GB2312" w:hAnsi="仿宋_GB2312" w:eastAsia="仿宋_GB2312" w:cs="仿宋_GB2312"/>
          <w:color w:val="000000"/>
          <w:kern w:val="0"/>
          <w:sz w:val="32"/>
          <w:szCs w:val="32"/>
        </w:rPr>
        <w:t>，共4</w:t>
      </w:r>
      <w:r>
        <w:rPr>
          <w:rFonts w:hint="eastAsia" w:ascii="仿宋_GB2312" w:hAnsi="仿宋_GB2312" w:eastAsia="仿宋_GB2312" w:cs="仿宋_GB2312"/>
          <w:color w:val="000000"/>
          <w:kern w:val="0"/>
          <w:sz w:val="32"/>
          <w:szCs w:val="32"/>
          <w:lang w:val="en-US" w:eastAsia="zh-CN"/>
        </w:rPr>
        <w:t>节14条</w:t>
      </w:r>
      <w:r>
        <w:rPr>
          <w:rFonts w:hint="eastAsia" w:ascii="仿宋_GB2312" w:hAnsi="仿宋_GB2312" w:eastAsia="仿宋_GB2312" w:cs="仿宋_GB2312"/>
          <w:color w:val="000000"/>
          <w:kern w:val="0"/>
          <w:sz w:val="32"/>
          <w:szCs w:val="32"/>
        </w:rPr>
        <w:t>。主要规定了</w:t>
      </w:r>
      <w:r>
        <w:rPr>
          <w:rFonts w:hint="eastAsia" w:ascii="仿宋_GB2312" w:hAnsi="仿宋_GB2312" w:eastAsia="仿宋_GB2312" w:cs="仿宋_GB2312"/>
          <w:color w:val="000000"/>
          <w:kern w:val="0"/>
          <w:sz w:val="32"/>
          <w:szCs w:val="32"/>
          <w:lang w:val="en-US" w:eastAsia="zh-CN"/>
        </w:rPr>
        <w:t>观测的周期、内容、方法、报告等要求，针对无技术资料码头提出特定观测要求</w:t>
      </w:r>
      <w:r>
        <w:rPr>
          <w:rFonts w:hint="eastAsia" w:ascii="仿宋_GB2312" w:hAnsi="仿宋_GB2312" w:eastAsia="仿宋_GB2312" w:cs="仿宋_GB2312"/>
          <w:color w:val="000000"/>
          <w:kern w:val="0"/>
          <w:sz w:val="32"/>
          <w:szCs w:val="32"/>
        </w:rPr>
        <w:t>。</w:t>
      </w:r>
    </w:p>
    <w:p>
      <w:pPr>
        <w:spacing w:line="600" w:lineRule="exact"/>
        <w:ind w:firstLine="640" w:firstLineChars="200"/>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第五章为</w:t>
      </w:r>
      <w:r>
        <w:rPr>
          <w:rFonts w:hint="eastAsia" w:ascii="仿宋_GB2312" w:hAnsi="仿宋_GB2312" w:eastAsia="仿宋_GB2312" w:cs="仿宋_GB2312"/>
          <w:color w:val="000000"/>
          <w:kern w:val="0"/>
          <w:sz w:val="32"/>
          <w:szCs w:val="32"/>
          <w:lang w:val="en-US" w:eastAsia="zh-CN"/>
        </w:rPr>
        <w:t>定期检查</w:t>
      </w:r>
      <w:r>
        <w:rPr>
          <w:rFonts w:hint="eastAsia" w:ascii="仿宋_GB2312" w:hAnsi="仿宋_GB2312" w:eastAsia="仿宋_GB2312" w:cs="仿宋_GB2312"/>
          <w:color w:val="000000"/>
          <w:kern w:val="0"/>
          <w:sz w:val="32"/>
          <w:szCs w:val="32"/>
        </w:rPr>
        <w:t>，共</w:t>
      </w:r>
      <w:r>
        <w:rPr>
          <w:rFonts w:hint="eastAsia" w:ascii="仿宋_GB2312" w:hAnsi="仿宋_GB2312" w:eastAsia="仿宋_GB2312" w:cs="仿宋_GB2312"/>
          <w:color w:val="000000"/>
          <w:kern w:val="0"/>
          <w:sz w:val="32"/>
          <w:szCs w:val="32"/>
          <w:lang w:val="en-US" w:eastAsia="zh-CN"/>
        </w:rPr>
        <w:t>4节23条</w:t>
      </w:r>
      <w:r>
        <w:rPr>
          <w:rFonts w:hint="eastAsia" w:ascii="仿宋_GB2312" w:hAnsi="仿宋_GB2312" w:eastAsia="仿宋_GB2312" w:cs="仿宋_GB2312"/>
          <w:color w:val="000000"/>
          <w:kern w:val="0"/>
          <w:sz w:val="32"/>
          <w:szCs w:val="32"/>
        </w:rPr>
        <w:t>。主要规定了</w:t>
      </w:r>
      <w:r>
        <w:rPr>
          <w:rFonts w:hint="eastAsia" w:ascii="仿宋_GB2312" w:hAnsi="仿宋_GB2312" w:eastAsia="仿宋_GB2312" w:cs="仿宋_GB2312"/>
          <w:color w:val="000000"/>
          <w:kern w:val="0"/>
          <w:sz w:val="32"/>
          <w:szCs w:val="32"/>
          <w:lang w:val="en-US" w:eastAsia="zh-CN"/>
        </w:rPr>
        <w:t>定期</w:t>
      </w:r>
      <w:r>
        <w:rPr>
          <w:rFonts w:hint="eastAsia" w:ascii="仿宋_GB2312" w:hAnsi="仿宋_GB2312" w:eastAsia="仿宋_GB2312" w:cs="仿宋_GB2312"/>
          <w:color w:val="000000"/>
          <w:kern w:val="0"/>
          <w:sz w:val="32"/>
          <w:szCs w:val="32"/>
        </w:rPr>
        <w:t>检查的</w:t>
      </w:r>
      <w:r>
        <w:rPr>
          <w:rFonts w:hint="eastAsia" w:ascii="仿宋_GB2312" w:hAnsi="仿宋_GB2312" w:eastAsia="仿宋_GB2312" w:cs="仿宋_GB2312"/>
          <w:color w:val="000000"/>
          <w:kern w:val="0"/>
          <w:sz w:val="32"/>
          <w:szCs w:val="32"/>
          <w:lang w:val="en-US" w:eastAsia="zh-CN"/>
        </w:rPr>
        <w:t>周期、内容、方法、结果评定、报告等要求，针对无技术资料码头提出结构调查等特定方法</w:t>
      </w:r>
      <w:r>
        <w:rPr>
          <w:rFonts w:hint="eastAsia" w:ascii="仿宋_GB2312" w:hAnsi="仿宋_GB2312" w:eastAsia="仿宋_GB2312" w:cs="仿宋_GB2312"/>
          <w:color w:val="000000"/>
          <w:kern w:val="0"/>
          <w:sz w:val="32"/>
          <w:szCs w:val="32"/>
        </w:rPr>
        <w:t>。</w:t>
      </w:r>
    </w:p>
    <w:p>
      <w:pPr>
        <w:spacing w:line="600" w:lineRule="exact"/>
        <w:ind w:firstLine="640" w:firstLineChars="200"/>
        <w:rPr>
          <w:rFonts w:hint="eastAsia" w:ascii="仿宋_GB2312" w:hAnsi="仿宋_GB2312" w:eastAsia="仿宋_GB2312" w:cs="仿宋_GB2312"/>
          <w:color w:val="000000"/>
          <w:kern w:val="0"/>
          <w:sz w:val="32"/>
          <w:szCs w:val="32"/>
          <w:lang w:val="en-US" w:eastAsia="zh-CN"/>
        </w:rPr>
      </w:pPr>
      <w:r>
        <w:rPr>
          <w:rFonts w:hint="eastAsia" w:ascii="仿宋_GB2312" w:hAnsi="仿宋_GB2312" w:eastAsia="仿宋_GB2312" w:cs="仿宋_GB2312"/>
          <w:color w:val="000000"/>
          <w:kern w:val="0"/>
          <w:sz w:val="32"/>
          <w:szCs w:val="32"/>
        </w:rPr>
        <w:t>第六章为</w:t>
      </w:r>
      <w:r>
        <w:rPr>
          <w:rFonts w:hint="eastAsia" w:ascii="仿宋_GB2312" w:hAnsi="仿宋_GB2312" w:eastAsia="仿宋_GB2312" w:cs="仿宋_GB2312"/>
          <w:color w:val="000000"/>
          <w:kern w:val="0"/>
          <w:sz w:val="32"/>
          <w:szCs w:val="32"/>
          <w:lang w:val="en-US" w:eastAsia="zh-CN"/>
        </w:rPr>
        <w:t>检测评估，共6节39条。</w:t>
      </w:r>
      <w:r>
        <w:rPr>
          <w:rFonts w:hint="eastAsia" w:ascii="仿宋_GB2312" w:hAnsi="仿宋_GB2312" w:eastAsia="仿宋_GB2312" w:cs="仿宋_GB2312"/>
          <w:color w:val="000000"/>
          <w:kern w:val="0"/>
          <w:sz w:val="32"/>
          <w:szCs w:val="32"/>
        </w:rPr>
        <w:t>主要规定了</w:t>
      </w:r>
      <w:r>
        <w:rPr>
          <w:rFonts w:hint="eastAsia" w:ascii="仿宋_GB2312" w:hAnsi="仿宋_GB2312" w:eastAsia="仿宋_GB2312" w:cs="仿宋_GB2312"/>
          <w:color w:val="000000"/>
          <w:kern w:val="0"/>
          <w:sz w:val="32"/>
          <w:szCs w:val="32"/>
          <w:lang w:val="en-US" w:eastAsia="zh-CN"/>
        </w:rPr>
        <w:t>检测评估</w:t>
      </w:r>
      <w:r>
        <w:rPr>
          <w:rFonts w:hint="eastAsia" w:ascii="仿宋_GB2312" w:hAnsi="仿宋_GB2312" w:eastAsia="仿宋_GB2312" w:cs="仿宋_GB2312"/>
          <w:color w:val="000000"/>
          <w:kern w:val="0"/>
          <w:sz w:val="32"/>
          <w:szCs w:val="32"/>
        </w:rPr>
        <w:t>的</w:t>
      </w:r>
      <w:r>
        <w:rPr>
          <w:rFonts w:hint="eastAsia" w:ascii="仿宋_GB2312" w:hAnsi="仿宋_GB2312" w:eastAsia="仿宋_GB2312" w:cs="仿宋_GB2312"/>
          <w:color w:val="000000"/>
          <w:kern w:val="0"/>
          <w:sz w:val="32"/>
          <w:szCs w:val="32"/>
          <w:lang w:val="en-US" w:eastAsia="zh-CN"/>
        </w:rPr>
        <w:t>周期、内容、方法、结果评定、报告等要求，针对主要技术资料缺失的港口基础设施提出结构测绘和原位实船试验等特定方法</w:t>
      </w:r>
      <w:r>
        <w:rPr>
          <w:rFonts w:hint="eastAsia" w:ascii="仿宋_GB2312" w:hAnsi="仿宋_GB2312" w:eastAsia="仿宋_GB2312" w:cs="仿宋_GB2312"/>
          <w:color w:val="000000"/>
          <w:kern w:val="0"/>
          <w:sz w:val="32"/>
          <w:szCs w:val="32"/>
        </w:rPr>
        <w:t>。</w:t>
      </w:r>
    </w:p>
    <w:p>
      <w:pPr>
        <w:spacing w:line="60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color w:val="000000"/>
          <w:kern w:val="0"/>
          <w:sz w:val="32"/>
          <w:szCs w:val="32"/>
        </w:rPr>
        <w:t>第</w:t>
      </w:r>
      <w:r>
        <w:rPr>
          <w:rFonts w:hint="eastAsia" w:ascii="仿宋_GB2312" w:hAnsi="仿宋_GB2312" w:eastAsia="仿宋_GB2312" w:cs="仿宋_GB2312"/>
          <w:color w:val="000000"/>
          <w:kern w:val="0"/>
          <w:sz w:val="32"/>
          <w:szCs w:val="32"/>
          <w:lang w:val="en-US" w:eastAsia="zh-CN"/>
        </w:rPr>
        <w:t>七</w:t>
      </w:r>
      <w:r>
        <w:rPr>
          <w:rFonts w:hint="eastAsia" w:ascii="仿宋_GB2312" w:hAnsi="仿宋_GB2312" w:eastAsia="仿宋_GB2312" w:cs="仿宋_GB2312"/>
          <w:color w:val="000000"/>
          <w:kern w:val="0"/>
          <w:sz w:val="32"/>
          <w:szCs w:val="32"/>
        </w:rPr>
        <w:t>章为</w:t>
      </w:r>
      <w:r>
        <w:rPr>
          <w:rFonts w:hint="eastAsia" w:ascii="仿宋_GB2312" w:hAnsi="仿宋_GB2312" w:eastAsia="仿宋_GB2312" w:cs="仿宋_GB2312"/>
          <w:color w:val="000000"/>
          <w:kern w:val="0"/>
          <w:sz w:val="32"/>
          <w:szCs w:val="32"/>
          <w:lang w:val="en-US" w:eastAsia="zh-CN"/>
        </w:rPr>
        <w:t>技术档案，共3条。</w:t>
      </w:r>
      <w:r>
        <w:rPr>
          <w:rFonts w:hint="eastAsia" w:ascii="仿宋_GB2312" w:hAnsi="仿宋_GB2312" w:eastAsia="仿宋_GB2312" w:cs="仿宋_GB2312"/>
          <w:color w:val="000000"/>
          <w:kern w:val="0"/>
          <w:sz w:val="32"/>
          <w:szCs w:val="32"/>
        </w:rPr>
        <w:t>主要规定了</w:t>
      </w:r>
      <w:r>
        <w:rPr>
          <w:rFonts w:hint="eastAsia" w:ascii="仿宋_GB2312" w:hAnsi="仿宋_GB2312" w:eastAsia="仿宋_GB2312" w:cs="仿宋_GB2312"/>
          <w:color w:val="000000"/>
          <w:kern w:val="0"/>
          <w:sz w:val="32"/>
          <w:szCs w:val="32"/>
          <w:lang w:val="en-US" w:eastAsia="zh-CN"/>
        </w:rPr>
        <w:t>技术档案的格式及归档要求。</w:t>
      </w:r>
    </w:p>
    <w:p>
      <w:pPr>
        <w:spacing w:line="600" w:lineRule="exact"/>
        <w:ind w:firstLine="640" w:firstLineChars="200"/>
        <w:rPr>
          <w:rFonts w:ascii="Times New Roman" w:hAnsi="Times New Roman" w:eastAsia="黑体"/>
          <w:sz w:val="32"/>
          <w:szCs w:val="32"/>
        </w:rPr>
      </w:pPr>
      <w:r>
        <w:rPr>
          <w:rFonts w:hint="eastAsia" w:ascii="Times New Roman" w:hAnsi="黑体" w:eastAsia="黑体"/>
          <w:sz w:val="32"/>
          <w:szCs w:val="32"/>
        </w:rPr>
        <w:t>三、有关</w:t>
      </w:r>
      <w:r>
        <w:rPr>
          <w:rFonts w:hint="eastAsia" w:ascii="Times New Roman" w:hAnsi="黑体" w:eastAsia="黑体"/>
          <w:sz w:val="32"/>
          <w:szCs w:val="32"/>
          <w:lang w:eastAsia="zh-CN"/>
        </w:rPr>
        <w:t>情况</w:t>
      </w:r>
      <w:r>
        <w:rPr>
          <w:rFonts w:hint="eastAsia" w:ascii="Times New Roman" w:hAnsi="黑体" w:eastAsia="黑体"/>
          <w:sz w:val="32"/>
          <w:szCs w:val="32"/>
        </w:rPr>
        <w:t>的说明</w:t>
      </w:r>
    </w:p>
    <w:p>
      <w:pPr>
        <w:spacing w:line="600" w:lineRule="exact"/>
        <w:ind w:firstLine="640"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kern w:val="0"/>
          <w:sz w:val="32"/>
          <w:szCs w:val="32"/>
        </w:rPr>
        <w:t>（一）关于</w:t>
      </w:r>
      <w:r>
        <w:rPr>
          <w:rFonts w:hint="eastAsia" w:ascii="仿宋_GB2312" w:hAnsi="仿宋_GB2312" w:eastAsia="仿宋_GB2312" w:cs="仿宋_GB2312"/>
          <w:color w:val="auto"/>
          <w:kern w:val="0"/>
          <w:sz w:val="32"/>
          <w:szCs w:val="32"/>
          <w:lang w:val="en-US" w:eastAsia="zh-CN"/>
        </w:rPr>
        <w:t>统一检测评估技术标准</w:t>
      </w:r>
      <w:r>
        <w:rPr>
          <w:rFonts w:hint="eastAsia" w:ascii="仿宋_GB2312" w:hAnsi="仿宋_GB2312" w:eastAsia="仿宋_GB2312" w:cs="仿宋_GB2312"/>
          <w:color w:val="auto"/>
          <w:kern w:val="0"/>
          <w:sz w:val="32"/>
          <w:szCs w:val="32"/>
        </w:rPr>
        <w:t>的问题</w:t>
      </w:r>
    </w:p>
    <w:p>
      <w:pPr>
        <w:spacing w:line="600" w:lineRule="exact"/>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color w:val="auto"/>
          <w:sz w:val="32"/>
          <w:szCs w:val="30"/>
        </w:rPr>
        <w:t>根据</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lang w:val="en-US" w:eastAsia="zh-CN"/>
        </w:rPr>
        <w:t>上海港口基础设施维护管理办法</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（沪</w:t>
      </w:r>
      <w:r>
        <w:rPr>
          <w:rFonts w:hint="eastAsia" w:ascii="仿宋_GB2312" w:hAnsi="仿宋_GB2312" w:eastAsia="仿宋_GB2312" w:cs="仿宋_GB2312"/>
          <w:color w:val="auto"/>
          <w:sz w:val="32"/>
          <w:szCs w:val="32"/>
          <w:lang w:val="en-US" w:eastAsia="zh-CN"/>
        </w:rPr>
        <w:t>府办</w:t>
      </w:r>
      <w:r>
        <w:rPr>
          <w:rFonts w:hint="eastAsia" w:ascii="仿宋_GB2312" w:hAnsi="仿宋_GB2312" w:eastAsia="仿宋_GB2312" w:cs="仿宋_GB2312"/>
          <w:color w:val="auto"/>
          <w:sz w:val="32"/>
          <w:szCs w:val="32"/>
        </w:rPr>
        <w:t>规</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lang w:val="en-US" w:eastAsia="zh-CN"/>
        </w:rPr>
        <w:t>2024</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lang w:val="en-US" w:eastAsia="zh-CN"/>
        </w:rPr>
        <w:t>16</w:t>
      </w:r>
      <w:r>
        <w:rPr>
          <w:rFonts w:hint="eastAsia" w:ascii="仿宋_GB2312" w:hAnsi="仿宋_GB2312" w:eastAsia="仿宋_GB2312" w:cs="仿宋_GB2312"/>
          <w:color w:val="auto"/>
          <w:sz w:val="32"/>
          <w:szCs w:val="32"/>
        </w:rPr>
        <w:t>号）</w:t>
      </w:r>
      <w:r>
        <w:rPr>
          <w:rFonts w:hint="eastAsia" w:ascii="仿宋_GB2312" w:hAnsi="仿宋_GB2312" w:eastAsia="仿宋_GB2312" w:cs="仿宋_GB2312"/>
          <w:color w:val="auto"/>
          <w:sz w:val="32"/>
          <w:szCs w:val="32"/>
          <w:lang w:val="en-US" w:eastAsia="zh-CN"/>
        </w:rPr>
        <w:t>和</w:t>
      </w:r>
      <w:r>
        <w:rPr>
          <w:rFonts w:hint="eastAsia" w:ascii="仿宋_GB2312" w:hAnsi="仿宋_GB2312" w:eastAsia="仿宋_GB2312" w:cs="仿宋_GB2312"/>
          <w:color w:val="auto"/>
          <w:sz w:val="32"/>
          <w:szCs w:val="32"/>
        </w:rPr>
        <w:t>《港口</w:t>
      </w:r>
      <w:r>
        <w:rPr>
          <w:rFonts w:hint="eastAsia" w:ascii="仿宋_GB2312" w:hAnsi="仿宋_GB2312" w:eastAsia="仿宋_GB2312" w:cs="仿宋_GB2312"/>
          <w:color w:val="auto"/>
          <w:sz w:val="32"/>
          <w:szCs w:val="32"/>
          <w:lang w:val="en-US" w:eastAsia="zh-CN"/>
        </w:rPr>
        <w:t>基础</w:t>
      </w:r>
      <w:r>
        <w:rPr>
          <w:rFonts w:hint="eastAsia" w:ascii="仿宋_GB2312" w:hAnsi="仿宋_GB2312" w:eastAsia="仿宋_GB2312" w:cs="仿宋_GB2312"/>
          <w:color w:val="auto"/>
          <w:sz w:val="32"/>
          <w:szCs w:val="32"/>
        </w:rPr>
        <w:t>设施维护技术规范》(JTS 310）</w:t>
      </w:r>
      <w:r>
        <w:rPr>
          <w:rFonts w:hint="eastAsia" w:ascii="仿宋_GB2312" w:hAnsi="仿宋_GB2312" w:eastAsia="仿宋_GB2312" w:cs="仿宋_GB2312"/>
          <w:color w:val="auto"/>
          <w:sz w:val="32"/>
          <w:szCs w:val="32"/>
          <w:lang w:val="en-US" w:eastAsia="zh-CN"/>
        </w:rPr>
        <w:t>的规定</w:t>
      </w:r>
      <w:r>
        <w:rPr>
          <w:rFonts w:hint="eastAsia" w:ascii="仿宋_GB2312" w:hAnsi="仿宋_GB2312" w:eastAsia="仿宋_GB2312" w:cs="仿宋_GB2312"/>
          <w:color w:val="auto"/>
          <w:sz w:val="32"/>
          <w:szCs w:val="30"/>
        </w:rPr>
        <w:t>，结合本市</w:t>
      </w:r>
      <w:r>
        <w:rPr>
          <w:rFonts w:hint="eastAsia" w:ascii="仿宋_GB2312" w:hAnsi="仿宋_GB2312" w:eastAsia="仿宋_GB2312" w:cs="仿宋_GB2312"/>
          <w:color w:val="auto"/>
          <w:sz w:val="32"/>
          <w:szCs w:val="32"/>
        </w:rPr>
        <w:t>港口基础设施的特定发展历程、地域性特征、水文</w:t>
      </w:r>
      <w:r>
        <w:rPr>
          <w:rFonts w:hint="eastAsia" w:ascii="仿宋_GB2312" w:hAnsi="仿宋_GB2312" w:eastAsia="仿宋_GB2312" w:cs="仿宋_GB2312"/>
          <w:color w:val="auto"/>
          <w:sz w:val="32"/>
          <w:szCs w:val="32"/>
          <w:lang w:eastAsia="zh-CN"/>
        </w:rPr>
        <w:t>特征</w:t>
      </w:r>
      <w:r>
        <w:rPr>
          <w:rFonts w:hint="eastAsia" w:ascii="仿宋_GB2312" w:hAnsi="仿宋_GB2312" w:eastAsia="仿宋_GB2312" w:cs="仿宋_GB2312"/>
          <w:color w:val="auto"/>
          <w:sz w:val="32"/>
          <w:szCs w:val="32"/>
        </w:rPr>
        <w:t>及维护特点</w:t>
      </w:r>
      <w:r>
        <w:rPr>
          <w:rFonts w:hint="eastAsia" w:ascii="仿宋_GB2312" w:hAnsi="仿宋_GB2312" w:eastAsia="仿宋_GB2312" w:cs="仿宋_GB2312"/>
          <w:color w:val="auto"/>
          <w:sz w:val="32"/>
          <w:szCs w:val="30"/>
        </w:rPr>
        <w:t>，</w:t>
      </w:r>
      <w:r>
        <w:rPr>
          <w:rFonts w:hint="eastAsia" w:ascii="仿宋_GB2312" w:hAnsi="仿宋_GB2312" w:eastAsia="仿宋_GB2312" w:cs="仿宋_GB2312"/>
          <w:color w:val="auto"/>
          <w:sz w:val="32"/>
          <w:szCs w:val="30"/>
          <w:lang w:val="en-US" w:eastAsia="zh-CN"/>
        </w:rPr>
        <w:t>制定统一的检测评估技术标准，指导和规范</w:t>
      </w:r>
      <w:r>
        <w:rPr>
          <w:rFonts w:hint="eastAsia" w:ascii="仿宋_GB2312" w:hAnsi="仿宋_GB2312" w:eastAsia="仿宋_GB2312" w:cs="仿宋_GB2312"/>
          <w:sz w:val="32"/>
          <w:szCs w:val="32"/>
        </w:rPr>
        <w:t>港口基础设施维护管理</w:t>
      </w:r>
      <w:r>
        <w:rPr>
          <w:rFonts w:hint="eastAsia" w:ascii="仿宋_GB2312" w:hAnsi="仿宋_GB2312" w:eastAsia="仿宋_GB2312" w:cs="仿宋_GB2312"/>
          <w:sz w:val="32"/>
          <w:szCs w:val="32"/>
          <w:lang w:val="en-US" w:eastAsia="zh-CN"/>
        </w:rPr>
        <w:t>工作。</w:t>
      </w:r>
    </w:p>
    <w:p>
      <w:pPr>
        <w:spacing w:line="600" w:lineRule="exact"/>
        <w:ind w:firstLine="640" w:firstLineChars="200"/>
        <w:rPr>
          <w:rFonts w:hint="eastAsia" w:ascii="仿宋_GB2312" w:hAnsi="仿宋_GB2312" w:eastAsia="仿宋_GB2312" w:cs="仿宋_GB2312"/>
          <w:color w:val="auto"/>
          <w:kern w:val="0"/>
          <w:sz w:val="32"/>
          <w:szCs w:val="32"/>
          <w:lang w:eastAsia="zh-CN"/>
        </w:rPr>
      </w:pPr>
      <w:r>
        <w:rPr>
          <w:rFonts w:hint="eastAsia" w:ascii="仿宋_GB2312" w:hAnsi="仿宋_GB2312" w:eastAsia="仿宋_GB2312" w:cs="仿宋_GB2312"/>
          <w:color w:val="auto"/>
          <w:kern w:val="0"/>
          <w:sz w:val="32"/>
          <w:szCs w:val="32"/>
        </w:rPr>
        <w:t>（</w:t>
      </w:r>
      <w:r>
        <w:rPr>
          <w:rFonts w:hint="eastAsia" w:ascii="仿宋_GB2312" w:hAnsi="仿宋_GB2312" w:eastAsia="仿宋_GB2312" w:cs="仿宋_GB2312"/>
          <w:color w:val="auto"/>
          <w:kern w:val="0"/>
          <w:sz w:val="32"/>
          <w:szCs w:val="32"/>
          <w:lang w:val="en-US" w:eastAsia="zh-CN"/>
        </w:rPr>
        <w:t>二</w:t>
      </w:r>
      <w:r>
        <w:rPr>
          <w:rFonts w:hint="eastAsia" w:ascii="仿宋_GB2312" w:hAnsi="仿宋_GB2312" w:eastAsia="仿宋_GB2312" w:cs="仿宋_GB2312"/>
          <w:color w:val="auto"/>
          <w:kern w:val="0"/>
          <w:sz w:val="32"/>
          <w:szCs w:val="32"/>
        </w:rPr>
        <w:t>）关于</w:t>
      </w:r>
      <w:r>
        <w:rPr>
          <w:rFonts w:hint="eastAsia" w:ascii="仿宋_GB2312" w:hAnsi="仿宋_GB2312" w:eastAsia="仿宋_GB2312" w:cs="仿宋_GB2312"/>
          <w:color w:val="auto"/>
          <w:kern w:val="0"/>
          <w:sz w:val="32"/>
          <w:szCs w:val="32"/>
          <w:lang w:val="en-US" w:eastAsia="zh-CN"/>
        </w:rPr>
        <w:t>主要技术资料</w:t>
      </w:r>
      <w:r>
        <w:rPr>
          <w:rFonts w:hint="eastAsia" w:ascii="仿宋_GB2312" w:hAnsi="仿宋_GB2312" w:eastAsia="仿宋_GB2312" w:cs="仿宋_GB2312"/>
          <w:color w:val="auto"/>
          <w:kern w:val="0"/>
          <w:sz w:val="32"/>
          <w:szCs w:val="32"/>
        </w:rPr>
        <w:t>缺失的港口基础设施</w:t>
      </w:r>
      <w:r>
        <w:rPr>
          <w:rFonts w:hint="eastAsia" w:ascii="仿宋_GB2312" w:hAnsi="仿宋_GB2312" w:eastAsia="仿宋_GB2312" w:cs="仿宋_GB2312"/>
          <w:color w:val="auto"/>
          <w:kern w:val="0"/>
          <w:sz w:val="32"/>
          <w:szCs w:val="32"/>
          <w:lang w:val="en-US" w:eastAsia="zh-CN"/>
        </w:rPr>
        <w:t>检测评估措施</w:t>
      </w:r>
      <w:r>
        <w:rPr>
          <w:rFonts w:hint="eastAsia" w:ascii="仿宋_GB2312" w:hAnsi="仿宋_GB2312" w:eastAsia="仿宋_GB2312" w:cs="仿宋_GB2312"/>
          <w:color w:val="auto"/>
          <w:kern w:val="0"/>
          <w:sz w:val="32"/>
          <w:szCs w:val="32"/>
        </w:rPr>
        <w:t>的</w:t>
      </w:r>
      <w:r>
        <w:rPr>
          <w:rFonts w:hint="eastAsia" w:ascii="仿宋_GB2312" w:hAnsi="仿宋_GB2312" w:eastAsia="仿宋_GB2312" w:cs="仿宋_GB2312"/>
          <w:color w:val="auto"/>
          <w:kern w:val="0"/>
          <w:sz w:val="32"/>
          <w:szCs w:val="32"/>
          <w:lang w:eastAsia="zh-CN"/>
        </w:rPr>
        <w:t>情况</w:t>
      </w:r>
    </w:p>
    <w:p>
      <w:pPr>
        <w:spacing w:line="600" w:lineRule="exact"/>
        <w:ind w:firstLine="640" w:firstLineChars="200"/>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rPr>
        <w:t>《港口</w:t>
      </w:r>
      <w:r>
        <w:rPr>
          <w:rFonts w:hint="eastAsia" w:ascii="仿宋_GB2312" w:hAnsi="仿宋_GB2312" w:eastAsia="仿宋_GB2312" w:cs="仿宋_GB2312"/>
          <w:color w:val="auto"/>
          <w:sz w:val="32"/>
          <w:szCs w:val="32"/>
          <w:lang w:val="en-US" w:eastAsia="zh-CN"/>
        </w:rPr>
        <w:t>基础</w:t>
      </w:r>
      <w:r>
        <w:rPr>
          <w:rFonts w:hint="eastAsia" w:ascii="仿宋_GB2312" w:hAnsi="仿宋_GB2312" w:eastAsia="仿宋_GB2312" w:cs="仿宋_GB2312"/>
          <w:color w:val="auto"/>
          <w:sz w:val="32"/>
          <w:szCs w:val="32"/>
        </w:rPr>
        <w:t>设施维护技术规范》(JTS 310）</w:t>
      </w:r>
      <w:r>
        <w:rPr>
          <w:rFonts w:hint="eastAsia" w:ascii="仿宋_GB2312" w:hAnsi="仿宋_GB2312" w:eastAsia="仿宋_GB2312" w:cs="仿宋_GB2312"/>
          <w:color w:val="auto"/>
          <w:sz w:val="32"/>
          <w:szCs w:val="32"/>
          <w:lang w:val="en-US" w:eastAsia="zh-CN"/>
        </w:rPr>
        <w:t>和</w:t>
      </w:r>
      <w:r>
        <w:rPr>
          <w:rFonts w:hint="eastAsia" w:ascii="仿宋_GB2312" w:hAnsi="仿宋_GB2312" w:eastAsia="仿宋_GB2312" w:cs="仿宋_GB2312"/>
          <w:color w:val="auto"/>
          <w:sz w:val="32"/>
          <w:szCs w:val="32"/>
        </w:rPr>
        <w:t>《水运工程水工建筑物检测评估技术规范》（JTS 304）</w:t>
      </w:r>
      <w:r>
        <w:rPr>
          <w:rFonts w:hint="eastAsia" w:ascii="仿宋_GB2312" w:hAnsi="仿宋_GB2312" w:eastAsia="仿宋_GB2312" w:cs="仿宋_GB2312"/>
          <w:color w:val="auto"/>
          <w:sz w:val="32"/>
          <w:szCs w:val="32"/>
          <w:lang w:val="en-US" w:eastAsia="zh-CN"/>
        </w:rPr>
        <w:t>尚无针对图纸等技术资料缺失港口基础设施的检测评估措施，本导则针对性制定了该类港口基础设施定期测量观测、定期检查和检测评估的实施及评价措施。</w:t>
      </w:r>
    </w:p>
    <w:p>
      <w:pPr>
        <w:spacing w:line="600" w:lineRule="exact"/>
        <w:ind w:firstLine="640" w:firstLineChars="200"/>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（三）关于个别检测周期参数延长的情况</w:t>
      </w:r>
    </w:p>
    <w:p>
      <w:pPr>
        <w:spacing w:line="600" w:lineRule="exact"/>
        <w:ind w:firstLine="640" w:firstLineChars="200"/>
        <w:rPr>
          <w:rFonts w:hint="eastAsia" w:ascii="仿宋_GB2312" w:hAnsi="仿宋_GB2312" w:eastAsia="仿宋_GB2312" w:cs="仿宋_GB2312"/>
          <w:color w:val="FF0000"/>
          <w:kern w:val="0"/>
          <w:sz w:val="32"/>
          <w:szCs w:val="32"/>
        </w:rPr>
      </w:pPr>
      <w:bookmarkStart w:id="0" w:name="_GoBack"/>
      <w:r>
        <w:rPr>
          <w:rFonts w:hint="eastAsia" w:ascii="仿宋_GB2312" w:hAnsi="仿宋_GB2312" w:eastAsia="仿宋_GB2312" w:cs="仿宋_GB2312"/>
          <w:color w:val="auto"/>
          <w:sz w:val="32"/>
          <w:szCs w:val="32"/>
          <w:lang w:val="en-US" w:eastAsia="zh-CN"/>
        </w:rPr>
        <w:t>从细化检测参数的角度出发，结合上海及长三角地区港口基础设施历史经验统计，针对钢筋混凝土劣化的必检参数中混凝土强度、钢筋保护层厚度，进一步明确其检测周期。</w:t>
      </w:r>
    </w:p>
    <w:bookmarkEnd w:id="0"/>
    <w:p>
      <w:pPr>
        <w:spacing w:line="600" w:lineRule="exact"/>
        <w:ind w:firstLine="640" w:firstLineChars="200"/>
        <w:rPr>
          <w:rFonts w:ascii="Times New Roman" w:hAnsi="Times New Roman" w:eastAsia="仿宋_GB2312"/>
          <w:sz w:val="32"/>
          <w:szCs w:val="32"/>
        </w:rPr>
      </w:pP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CC"/>
    <w:family w:val="auto"/>
    <w:pitch w:val="default"/>
    <w:sig w:usb0="00000000" w:usb1="00000000" w:usb2="00000009" w:usb3="00000000" w:csb0="400001FF" w:csb1="FFFF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华文中宋">
    <w:altName w:val="汉仪中宋简"/>
    <w:panose1 w:val="02010600040101010101"/>
    <w:charset w:val="86"/>
    <w:family w:val="auto"/>
    <w:pitch w:val="default"/>
    <w:sig w:usb0="00000000" w:usb1="00000000" w:usb2="00000000" w:usb3="00000000" w:csb0="0004009F" w:csb1="DFD70000"/>
  </w:font>
  <w:font w:name="仿宋_GB2312">
    <w:panose1 w:val="02010609030101010101"/>
    <w:charset w:val="86"/>
    <w:family w:val="modern"/>
    <w:pitch w:val="default"/>
    <w:sig w:usb0="00000001" w:usb1="080E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Liberation Serif">
    <w:panose1 w:val="02020603050405020304"/>
    <w:charset w:val="00"/>
    <w:family w:val="auto"/>
    <w:pitch w:val="default"/>
    <w:sig w:usb0="A00002AF" w:usb1="500078FB" w:usb2="00000000" w:usb3="00000000" w:csb0="6000009F" w:csb1="DFD70000"/>
  </w:font>
  <w:font w:name="汉仪中宋简">
    <w:panose1 w:val="02010600000101010101"/>
    <w:charset w:val="86"/>
    <w:family w:val="auto"/>
    <w:pitch w:val="default"/>
    <w:sig w:usb0="00000001" w:usb1="080E0800" w:usb2="00000002" w:usb3="00000000" w:csb0="00040000" w:csb1="00000000"/>
  </w:font>
  <w:font w:name="方正黑体_GBK">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903962047"/>
      <w:docPartObj>
        <w:docPartGallery w:val="autotext"/>
      </w:docPartObj>
    </w:sdtPr>
    <w:sdtContent>
      <w:p>
        <w:pPr>
          <w:pStyle w:val="2"/>
          <w:jc w:val="center"/>
        </w:pPr>
        <w:r>
          <w:rPr>
            <w:rFonts w:ascii="Times New Roman" w:hAnsi="Times New Roman" w:cs="Times New Roman"/>
          </w:rPr>
          <w:fldChar w:fldCharType="begin"/>
        </w:r>
        <w:r>
          <w:rPr>
            <w:rFonts w:ascii="Times New Roman" w:hAnsi="Times New Roman" w:cs="Times New Roman"/>
          </w:rPr>
          <w:instrText xml:space="preserve"> PAGE   \* MERGEFORMAT </w:instrText>
        </w:r>
        <w:r>
          <w:rPr>
            <w:rFonts w:ascii="Times New Roman" w:hAnsi="Times New Roman" w:cs="Times New Roman"/>
          </w:rPr>
          <w:fldChar w:fldCharType="separate"/>
        </w:r>
        <w:r>
          <w:rPr>
            <w:rFonts w:ascii="Times New Roman" w:hAnsi="Times New Roman" w:cs="Times New Roman"/>
            <w:lang w:val="zh-CN"/>
          </w:rPr>
          <w:t>3</w:t>
        </w:r>
        <w:r>
          <w:rPr>
            <w:rFonts w:ascii="Times New Roman" w:hAnsi="Times New Roman" w:cs="Times New Roman"/>
          </w:rPr>
          <w:fldChar w:fldCharType="end"/>
        </w:r>
      </w:p>
    </w:sdtContent>
  </w:sdt>
  <w:p>
    <w:pPr>
      <w:pStyle w:val="2"/>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false"/>
  <w:bordersDoNotSurroundFooter w:val="false"/>
  <w:documentProtection w:enforcement="0"/>
  <w:defaultTabStop w:val="420"/>
  <w:drawingGridVerticalSpacing w:val="156"/>
  <w:displayHorizontalDrawingGridEvery w:val="1"/>
  <w:displayVerticalDrawingGridEvery w:val="1"/>
  <w:noPunctuationKerning w:val="true"/>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4639F"/>
    <w:rsid w:val="000379D0"/>
    <w:rsid w:val="00166135"/>
    <w:rsid w:val="001D06CA"/>
    <w:rsid w:val="001E59F2"/>
    <w:rsid w:val="002579D7"/>
    <w:rsid w:val="002A3E51"/>
    <w:rsid w:val="003B6917"/>
    <w:rsid w:val="004003CF"/>
    <w:rsid w:val="004A2B63"/>
    <w:rsid w:val="004E6C2A"/>
    <w:rsid w:val="00591435"/>
    <w:rsid w:val="00664454"/>
    <w:rsid w:val="0067375D"/>
    <w:rsid w:val="007616A9"/>
    <w:rsid w:val="00803D28"/>
    <w:rsid w:val="0082701E"/>
    <w:rsid w:val="00884E19"/>
    <w:rsid w:val="00923179"/>
    <w:rsid w:val="0094639F"/>
    <w:rsid w:val="00970B16"/>
    <w:rsid w:val="00A47BE3"/>
    <w:rsid w:val="00B254C1"/>
    <w:rsid w:val="00B700C2"/>
    <w:rsid w:val="00CA73C9"/>
    <w:rsid w:val="00CF0B2D"/>
    <w:rsid w:val="00D07517"/>
    <w:rsid w:val="00DC42CA"/>
    <w:rsid w:val="00DD002B"/>
    <w:rsid w:val="00DD50F7"/>
    <w:rsid w:val="00DF21EF"/>
    <w:rsid w:val="00E91F03"/>
    <w:rsid w:val="00ED1C19"/>
    <w:rsid w:val="00EE7C2C"/>
    <w:rsid w:val="07A210A0"/>
    <w:rsid w:val="0F582CA6"/>
    <w:rsid w:val="304F0B8E"/>
    <w:rsid w:val="333FF8E2"/>
    <w:rsid w:val="3AD71312"/>
    <w:rsid w:val="3BF7F680"/>
    <w:rsid w:val="3E7FE4AF"/>
    <w:rsid w:val="3F7B2D18"/>
    <w:rsid w:val="3FF1FDA4"/>
    <w:rsid w:val="3FFD9790"/>
    <w:rsid w:val="4F7B72E5"/>
    <w:rsid w:val="54B75506"/>
    <w:rsid w:val="56FD5196"/>
    <w:rsid w:val="587E68E9"/>
    <w:rsid w:val="5D1F880E"/>
    <w:rsid w:val="5E9FB3EE"/>
    <w:rsid w:val="69513408"/>
    <w:rsid w:val="6A0A597F"/>
    <w:rsid w:val="6AD6E2C7"/>
    <w:rsid w:val="6B9BBEF0"/>
    <w:rsid w:val="727FB60F"/>
    <w:rsid w:val="74FFB8D4"/>
    <w:rsid w:val="777F56E9"/>
    <w:rsid w:val="7B775BFF"/>
    <w:rsid w:val="7BC78568"/>
    <w:rsid w:val="7BEE64EA"/>
    <w:rsid w:val="7BF5DE98"/>
    <w:rsid w:val="7DEF173A"/>
    <w:rsid w:val="7E7A0DA6"/>
    <w:rsid w:val="7EB76C93"/>
    <w:rsid w:val="7EF3516A"/>
    <w:rsid w:val="7F6F917B"/>
    <w:rsid w:val="7FBD9E31"/>
    <w:rsid w:val="7FFBBCDE"/>
    <w:rsid w:val="8FF790A8"/>
    <w:rsid w:val="BD3B435B"/>
    <w:rsid w:val="BFB7DB5C"/>
    <w:rsid w:val="CCAFF0B7"/>
    <w:rsid w:val="CE1B9131"/>
    <w:rsid w:val="CFFFD2E5"/>
    <w:rsid w:val="D97B4E7E"/>
    <w:rsid w:val="DFFF4930"/>
    <w:rsid w:val="DFFFEBDA"/>
    <w:rsid w:val="E799B276"/>
    <w:rsid w:val="E7FD0332"/>
    <w:rsid w:val="EAB38108"/>
    <w:rsid w:val="ED6731EB"/>
    <w:rsid w:val="F3EBAB51"/>
    <w:rsid w:val="F3FB5775"/>
    <w:rsid w:val="F5A30F4E"/>
    <w:rsid w:val="F5FF0D92"/>
    <w:rsid w:val="F76FDFA2"/>
    <w:rsid w:val="F7D71607"/>
    <w:rsid w:val="F7FE746A"/>
    <w:rsid w:val="F97F681F"/>
    <w:rsid w:val="FB3FDA44"/>
    <w:rsid w:val="FB73CB9C"/>
    <w:rsid w:val="FCEF6A47"/>
    <w:rsid w:val="FDB62959"/>
    <w:rsid w:val="FDD75D3E"/>
    <w:rsid w:val="FF7F193B"/>
    <w:rsid w:val="FFEED09F"/>
    <w:rsid w:val="FFF8CD6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8"/>
    <w:unhideWhenUsed/>
    <w:qFormat/>
    <w:uiPriority w:val="99"/>
    <w:pPr>
      <w:tabs>
        <w:tab w:val="center" w:pos="4153"/>
        <w:tab w:val="right" w:pos="8306"/>
      </w:tabs>
      <w:snapToGrid w:val="0"/>
      <w:jc w:val="left"/>
    </w:pPr>
    <w:rPr>
      <w:sz w:val="18"/>
      <w:szCs w:val="18"/>
    </w:rPr>
  </w:style>
  <w:style w:type="paragraph" w:styleId="3">
    <w:name w:val="header"/>
    <w:basedOn w:val="1"/>
    <w:link w:val="7"/>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List Paragraph"/>
    <w:basedOn w:val="1"/>
    <w:qFormat/>
    <w:uiPriority w:val="34"/>
    <w:pPr>
      <w:ind w:firstLine="420" w:firstLineChars="200"/>
    </w:pPr>
  </w:style>
  <w:style w:type="character" w:customStyle="1" w:styleId="7">
    <w:name w:val="页眉 Char"/>
    <w:basedOn w:val="5"/>
    <w:link w:val="3"/>
    <w:semiHidden/>
    <w:qFormat/>
    <w:uiPriority w:val="99"/>
    <w:rPr>
      <w:sz w:val="18"/>
      <w:szCs w:val="18"/>
    </w:rPr>
  </w:style>
  <w:style w:type="character" w:customStyle="1" w:styleId="8">
    <w:name w:val="页脚 Char"/>
    <w:basedOn w:val="5"/>
    <w:link w:val="2"/>
    <w:qFormat/>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Pages>
  <Words>1139</Words>
  <Characters>1159</Characters>
  <Lines>7</Lines>
  <Paragraphs>2</Paragraphs>
  <TotalTime>66</TotalTime>
  <ScaleCrop>false</ScaleCrop>
  <LinksUpToDate>false</LinksUpToDate>
  <CharactersWithSpaces>1160</CharactersWithSpaces>
  <Application>WPS Office_11.8.2.10337_F1E327BC-269C-435d-A152-05C5408002CA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2021-11-25T00:54:00Z</dcterms:created>
  <dc:creator>joycefu</dc:creator>
  <cp:lastModifiedBy>lenovo</cp:lastModifiedBy>
  <cp:lastPrinted>2024-12-19T09:57:58Z</cp:lastPrinted>
  <dcterms:modified xsi:type="dcterms:W3CDTF">2024-12-19T10:10:20Z</dcterms:modified>
  <cp:revision>26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2052-11.8.2.10337</vt:lpwstr>
  </property>
  <property fmtid="{D5CDD505-2E9C-101B-9397-08002B2CF9AE}" pid="3" name="ICV">
    <vt:lpwstr>F94AEE49EF9B4D16BB9604A9ABF40CA2_12</vt:lpwstr>
  </property>
</Properties>
</file>